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D74DC" w14:textId="77777777" w:rsidR="000F43C2" w:rsidRDefault="000F43C2" w:rsidP="000F43C2">
      <w:pPr>
        <w:pStyle w:val="Header"/>
      </w:pPr>
      <w:r w:rsidRPr="00C86589">
        <w:rPr>
          <w:noProof/>
        </w:rPr>
        <w:drawing>
          <wp:inline distT="0" distB="0" distL="0" distR="0" wp14:anchorId="47AEED96" wp14:editId="1CDD68EA">
            <wp:extent cx="1788886" cy="647700"/>
            <wp:effectExtent l="0" t="0" r="1905" b="0"/>
            <wp:docPr id="1705129220" name="Picture 1705129220" descr="EDD Employment Development Department State of California" title="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dnet/services/PA/MACS/EDD%20Logo%20BW.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1299" cy="648574"/>
                    </a:xfrm>
                    <a:prstGeom prst="rect">
                      <a:avLst/>
                    </a:prstGeom>
                    <a:noFill/>
                    <a:ln>
                      <a:noFill/>
                    </a:ln>
                  </pic:spPr>
                </pic:pic>
              </a:graphicData>
            </a:graphic>
          </wp:inline>
        </w:drawing>
      </w:r>
    </w:p>
    <w:p w14:paraId="5D98EC8B" w14:textId="2930F314" w:rsidR="000F43C2" w:rsidRPr="002A057F" w:rsidRDefault="000F43C2" w:rsidP="000F43C2">
      <w:pPr>
        <w:pStyle w:val="Heading1"/>
      </w:pPr>
      <w:r w:rsidRPr="000F43C2">
        <w:t>English Language Learner Integrated Education and Training</w:t>
      </w:r>
    </w:p>
    <w:p w14:paraId="68CC6D53" w14:textId="77777777" w:rsidR="000F43C2" w:rsidRDefault="000F43C2" w:rsidP="000F43C2">
      <w:pPr>
        <w:pStyle w:val="Heading1"/>
      </w:pPr>
      <w:r w:rsidRPr="000F43C2">
        <w:t>Fund Technical Assistance and Developmental Evaluation</w:t>
      </w:r>
      <w:r w:rsidRPr="002A057F">
        <w:t xml:space="preserve"> </w:t>
      </w:r>
    </w:p>
    <w:p w14:paraId="7006996D" w14:textId="62D96F7F" w:rsidR="000F43C2" w:rsidRPr="000F43C2" w:rsidRDefault="000F43C2" w:rsidP="000F43C2">
      <w:pPr>
        <w:pStyle w:val="Heading1"/>
        <w:sectPr w:rsidR="000F43C2" w:rsidRPr="000F43C2" w:rsidSect="000F43C2">
          <w:footerReference w:type="default" r:id="rId11"/>
          <w:footerReference w:type="first" r:id="rId12"/>
          <w:type w:val="continuous"/>
          <w:pgSz w:w="12240" w:h="15840"/>
          <w:pgMar w:top="1008" w:right="1008" w:bottom="1008" w:left="1008" w:header="720" w:footer="720" w:gutter="0"/>
          <w:cols w:num="2" w:space="144" w:equalWidth="0">
            <w:col w:w="2880" w:space="144"/>
            <w:col w:w="7200"/>
          </w:cols>
          <w:titlePg/>
          <w:docGrid w:linePitch="360"/>
        </w:sectPr>
      </w:pPr>
      <w:r w:rsidRPr="002A057F">
        <w:t xml:space="preserve">PY </w:t>
      </w:r>
      <w:r>
        <w:t>2022</w:t>
      </w:r>
      <w:r w:rsidRPr="002A057F">
        <w:t>-</w:t>
      </w:r>
      <w:r>
        <w:t xml:space="preserve">23 </w:t>
      </w:r>
      <w:r w:rsidRPr="002A057F">
        <w:t>Award List and Project Summaries</w:t>
      </w:r>
    </w:p>
    <w:p w14:paraId="4838D778" w14:textId="77777777" w:rsidR="000F43C2" w:rsidRPr="0015018E" w:rsidRDefault="000F43C2" w:rsidP="000F43C2">
      <w:pPr>
        <w:pBdr>
          <w:bottom w:val="single" w:sz="4" w:space="1" w:color="auto"/>
        </w:pBdr>
        <w:ind w:right="864"/>
        <w:rPr>
          <w:rFonts w:cs="Arial"/>
          <w:sz w:val="16"/>
          <w:szCs w:val="16"/>
        </w:rPr>
      </w:pPr>
    </w:p>
    <w:p w14:paraId="69682973" w14:textId="31916BA5" w:rsidR="00B617B8" w:rsidRPr="000126A8" w:rsidRDefault="00B617B8" w:rsidP="00B617B8">
      <w:pPr>
        <w:pStyle w:val="Heading2"/>
        <w:rPr>
          <w:rFonts w:cstheme="minorHAnsi"/>
          <w:b w:val="0"/>
          <w:color w:val="auto"/>
          <w:szCs w:val="24"/>
        </w:rPr>
      </w:pPr>
      <w:r w:rsidRPr="000126A8">
        <w:rPr>
          <w:rFonts w:cstheme="minorHAnsi"/>
          <w:b w:val="0"/>
          <w:color w:val="auto"/>
          <w:szCs w:val="24"/>
        </w:rPr>
        <w:t xml:space="preserve">On </w:t>
      </w:r>
      <w:r w:rsidR="00E34457" w:rsidRPr="000F43C2">
        <w:rPr>
          <w:rFonts w:cstheme="minorHAnsi"/>
          <w:b w:val="0"/>
          <w:color w:val="auto"/>
          <w:szCs w:val="24"/>
        </w:rPr>
        <w:t>February</w:t>
      </w:r>
      <w:r w:rsidRPr="000F43C2">
        <w:rPr>
          <w:rFonts w:cstheme="minorHAnsi"/>
          <w:b w:val="0"/>
          <w:color w:val="auto"/>
          <w:szCs w:val="24"/>
        </w:rPr>
        <w:t xml:space="preserve"> </w:t>
      </w:r>
      <w:r w:rsidR="000F43C2" w:rsidRPr="000F43C2">
        <w:rPr>
          <w:rFonts w:cstheme="minorHAnsi"/>
          <w:b w:val="0"/>
          <w:color w:val="auto"/>
          <w:szCs w:val="24"/>
        </w:rPr>
        <w:t>5</w:t>
      </w:r>
      <w:r w:rsidRPr="000F43C2">
        <w:rPr>
          <w:rFonts w:cstheme="minorHAnsi"/>
          <w:b w:val="0"/>
          <w:color w:val="auto"/>
          <w:szCs w:val="24"/>
        </w:rPr>
        <w:t>, 2023,</w:t>
      </w:r>
      <w:r w:rsidRPr="000126A8">
        <w:rPr>
          <w:rFonts w:cstheme="minorHAnsi"/>
          <w:b w:val="0"/>
          <w:color w:val="auto"/>
          <w:szCs w:val="24"/>
        </w:rPr>
        <w:t xml:space="preserve"> $</w:t>
      </w:r>
      <w:r w:rsidR="000959DC" w:rsidRPr="000126A8">
        <w:rPr>
          <w:rFonts w:cstheme="minorHAnsi"/>
          <w:b w:val="0"/>
          <w:color w:val="auto"/>
          <w:szCs w:val="24"/>
        </w:rPr>
        <w:t>1</w:t>
      </w:r>
      <w:r w:rsidRPr="000126A8">
        <w:rPr>
          <w:rFonts w:cstheme="minorHAnsi"/>
          <w:b w:val="0"/>
          <w:color w:val="auto"/>
          <w:szCs w:val="24"/>
        </w:rPr>
        <w:t xml:space="preserve"> million f</w:t>
      </w:r>
      <w:r w:rsidR="002C35C8" w:rsidRPr="000126A8">
        <w:rPr>
          <w:rFonts w:cstheme="minorHAnsi"/>
          <w:b w:val="0"/>
          <w:color w:val="auto"/>
          <w:szCs w:val="24"/>
        </w:rPr>
        <w:t>rom</w:t>
      </w:r>
      <w:r w:rsidRPr="000126A8">
        <w:rPr>
          <w:rFonts w:cstheme="minorHAnsi"/>
          <w:b w:val="0"/>
          <w:color w:val="auto"/>
          <w:szCs w:val="24"/>
        </w:rPr>
        <w:t xml:space="preserve"> </w:t>
      </w:r>
      <w:r w:rsidR="0084049D" w:rsidRPr="000126A8">
        <w:rPr>
          <w:rFonts w:cstheme="minorHAnsi"/>
          <w:b w:val="0"/>
          <w:color w:val="auto"/>
          <w:szCs w:val="24"/>
        </w:rPr>
        <w:t xml:space="preserve">the </w:t>
      </w:r>
      <w:r w:rsidR="00F40AB7" w:rsidRPr="000126A8">
        <w:rPr>
          <w:rFonts w:cstheme="minorHAnsi"/>
          <w:b w:val="0"/>
          <w:color w:val="auto"/>
          <w:szCs w:val="24"/>
        </w:rPr>
        <w:t xml:space="preserve">state of </w:t>
      </w:r>
      <w:r w:rsidR="000959DC" w:rsidRPr="000126A8">
        <w:rPr>
          <w:rFonts w:cstheme="minorHAnsi"/>
          <w:b w:val="0"/>
          <w:color w:val="auto"/>
          <w:szCs w:val="24"/>
        </w:rPr>
        <w:t>California</w:t>
      </w:r>
      <w:r w:rsidR="00F40AB7" w:rsidRPr="000126A8">
        <w:rPr>
          <w:rFonts w:cstheme="minorHAnsi"/>
          <w:b w:val="0"/>
          <w:color w:val="auto"/>
          <w:szCs w:val="24"/>
        </w:rPr>
        <w:t>’s</w:t>
      </w:r>
      <w:r w:rsidR="000959DC" w:rsidRPr="000126A8">
        <w:rPr>
          <w:rFonts w:cstheme="minorHAnsi"/>
          <w:b w:val="0"/>
          <w:color w:val="auto"/>
          <w:szCs w:val="24"/>
        </w:rPr>
        <w:t xml:space="preserve"> general fund </w:t>
      </w:r>
      <w:r w:rsidRPr="000126A8">
        <w:rPr>
          <w:rFonts w:cstheme="minorHAnsi"/>
          <w:b w:val="0"/>
          <w:color w:val="auto"/>
          <w:szCs w:val="24"/>
        </w:rPr>
        <w:t>w</w:t>
      </w:r>
      <w:r w:rsidR="002C35C8" w:rsidRPr="000126A8">
        <w:rPr>
          <w:rFonts w:cstheme="minorHAnsi"/>
          <w:b w:val="0"/>
          <w:color w:val="auto"/>
          <w:szCs w:val="24"/>
        </w:rPr>
        <w:t>as</w:t>
      </w:r>
      <w:r w:rsidRPr="000126A8">
        <w:rPr>
          <w:rFonts w:cstheme="minorHAnsi"/>
          <w:b w:val="0"/>
          <w:color w:val="auto"/>
          <w:szCs w:val="24"/>
        </w:rPr>
        <w:t xml:space="preserve"> awarded </w:t>
      </w:r>
      <w:r w:rsidRPr="000F43C2">
        <w:rPr>
          <w:rFonts w:cstheme="minorHAnsi"/>
          <w:b w:val="0"/>
          <w:color w:val="auto"/>
          <w:szCs w:val="24"/>
        </w:rPr>
        <w:t>to</w:t>
      </w:r>
      <w:r w:rsidR="004966B2" w:rsidRPr="000F43C2">
        <w:rPr>
          <w:rFonts w:cstheme="minorHAnsi"/>
          <w:b w:val="0"/>
          <w:color w:val="auto"/>
          <w:szCs w:val="24"/>
        </w:rPr>
        <w:t xml:space="preserve"> one organization</w:t>
      </w:r>
      <w:r w:rsidRPr="000126A8">
        <w:rPr>
          <w:rFonts w:cstheme="minorHAnsi"/>
          <w:b w:val="0"/>
          <w:color w:val="auto"/>
          <w:szCs w:val="24"/>
        </w:rPr>
        <w:t xml:space="preserve"> under the </w:t>
      </w:r>
      <w:r w:rsidR="000959DC" w:rsidRPr="000126A8">
        <w:rPr>
          <w:rFonts w:cstheme="minorHAnsi"/>
          <w:b w:val="0"/>
          <w:color w:val="auto"/>
          <w:szCs w:val="24"/>
        </w:rPr>
        <w:t>English Language Learner (ELL) Integrated Education and Training (IET) Fund</w:t>
      </w:r>
      <w:r w:rsidR="000959DC" w:rsidRPr="000126A8">
        <w:rPr>
          <w:szCs w:val="24"/>
        </w:rPr>
        <w:t xml:space="preserve"> </w:t>
      </w:r>
      <w:r w:rsidR="000959DC" w:rsidRPr="000126A8">
        <w:rPr>
          <w:rFonts w:cstheme="minorHAnsi"/>
          <w:b w:val="0"/>
          <w:color w:val="auto"/>
          <w:szCs w:val="24"/>
        </w:rPr>
        <w:t xml:space="preserve">Technical Assistance (TA) and </w:t>
      </w:r>
      <w:r w:rsidR="004966B2" w:rsidRPr="000126A8">
        <w:rPr>
          <w:rFonts w:cstheme="minorHAnsi"/>
          <w:b w:val="0"/>
          <w:color w:val="auto"/>
          <w:szCs w:val="24"/>
        </w:rPr>
        <w:t xml:space="preserve">Developmental </w:t>
      </w:r>
      <w:r w:rsidR="000959DC" w:rsidRPr="000126A8">
        <w:rPr>
          <w:rFonts w:cstheme="minorHAnsi"/>
          <w:b w:val="0"/>
          <w:color w:val="auto"/>
          <w:szCs w:val="24"/>
        </w:rPr>
        <w:t>Evaluation</w:t>
      </w:r>
      <w:r w:rsidR="00E34457" w:rsidRPr="000126A8">
        <w:rPr>
          <w:rFonts w:cstheme="minorHAnsi"/>
          <w:b w:val="0"/>
          <w:color w:val="auto"/>
          <w:szCs w:val="24"/>
        </w:rPr>
        <w:t xml:space="preserve"> (DE)</w:t>
      </w:r>
      <w:r w:rsidR="000959DC" w:rsidRPr="000126A8">
        <w:rPr>
          <w:rFonts w:cstheme="minorHAnsi"/>
          <w:b w:val="0"/>
          <w:color w:val="auto"/>
          <w:szCs w:val="24"/>
        </w:rPr>
        <w:t xml:space="preserve"> </w:t>
      </w:r>
      <w:r w:rsidRPr="000126A8">
        <w:rPr>
          <w:rFonts w:cstheme="minorHAnsi"/>
          <w:b w:val="0"/>
          <w:color w:val="auto"/>
          <w:szCs w:val="24"/>
        </w:rPr>
        <w:t>Program Year 202</w:t>
      </w:r>
      <w:r w:rsidR="000959DC" w:rsidRPr="000126A8">
        <w:rPr>
          <w:rFonts w:cstheme="minorHAnsi"/>
          <w:b w:val="0"/>
          <w:color w:val="auto"/>
          <w:szCs w:val="24"/>
        </w:rPr>
        <w:t>2</w:t>
      </w:r>
      <w:r w:rsidRPr="000126A8">
        <w:rPr>
          <w:rFonts w:cstheme="minorHAnsi"/>
          <w:b w:val="0"/>
          <w:color w:val="auto"/>
          <w:szCs w:val="24"/>
        </w:rPr>
        <w:t>-2</w:t>
      </w:r>
      <w:r w:rsidR="000959DC" w:rsidRPr="000126A8">
        <w:rPr>
          <w:rFonts w:cstheme="minorHAnsi"/>
          <w:b w:val="0"/>
          <w:color w:val="auto"/>
          <w:szCs w:val="24"/>
        </w:rPr>
        <w:t>3</w:t>
      </w:r>
      <w:r w:rsidRPr="000126A8">
        <w:rPr>
          <w:rFonts w:cstheme="minorHAnsi"/>
          <w:b w:val="0"/>
          <w:color w:val="auto"/>
          <w:szCs w:val="24"/>
        </w:rPr>
        <w:t xml:space="preserve"> (PY 2</w:t>
      </w:r>
      <w:r w:rsidR="000959DC" w:rsidRPr="000126A8">
        <w:rPr>
          <w:rFonts w:cstheme="minorHAnsi"/>
          <w:b w:val="0"/>
          <w:color w:val="auto"/>
          <w:szCs w:val="24"/>
        </w:rPr>
        <w:t>2</w:t>
      </w:r>
      <w:r w:rsidRPr="000126A8">
        <w:rPr>
          <w:rFonts w:cstheme="minorHAnsi"/>
          <w:b w:val="0"/>
          <w:color w:val="auto"/>
          <w:szCs w:val="24"/>
        </w:rPr>
        <w:t>-2</w:t>
      </w:r>
      <w:r w:rsidR="000959DC" w:rsidRPr="000126A8">
        <w:rPr>
          <w:rFonts w:cstheme="minorHAnsi"/>
          <w:b w:val="0"/>
          <w:color w:val="auto"/>
          <w:szCs w:val="24"/>
        </w:rPr>
        <w:t>3</w:t>
      </w:r>
      <w:r w:rsidRPr="000126A8">
        <w:rPr>
          <w:rFonts w:cstheme="minorHAnsi"/>
          <w:b w:val="0"/>
          <w:color w:val="auto"/>
          <w:szCs w:val="24"/>
        </w:rPr>
        <w:t>) Solicitation for Proposals (SFP). The awardee and project summary are listed below. Funding decisions are final.</w:t>
      </w:r>
    </w:p>
    <w:p w14:paraId="2A7B1A58" w14:textId="314A844D" w:rsidR="00C4619D" w:rsidRPr="00D9507B" w:rsidRDefault="00F44EFA" w:rsidP="00B617B8">
      <w:pPr>
        <w:pStyle w:val="Heading2"/>
        <w:rPr>
          <w:rFonts w:cstheme="minorHAnsi"/>
        </w:rPr>
      </w:pPr>
      <w:r>
        <w:rPr>
          <w:rFonts w:cstheme="minorHAnsi"/>
          <w:szCs w:val="24"/>
        </w:rPr>
        <w:t>Award List</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1980"/>
        <w:gridCol w:w="1980"/>
      </w:tblGrid>
      <w:tr w:rsidR="00F9480C" w:rsidRPr="00D9507B" w14:paraId="2A7B1A5C" w14:textId="77777777" w:rsidTr="0071078A">
        <w:trPr>
          <w:trHeight w:val="432"/>
        </w:trPr>
        <w:tc>
          <w:tcPr>
            <w:tcW w:w="53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A7B1A59" w14:textId="68B4B750" w:rsidR="00F9480C" w:rsidRPr="00D9507B" w:rsidRDefault="00340557" w:rsidP="0094663B">
            <w:pPr>
              <w:pStyle w:val="Default"/>
              <w:rPr>
                <w:rFonts w:asciiTheme="minorHAnsi" w:hAnsiTheme="minorHAnsi" w:cstheme="minorHAnsi"/>
                <w:b/>
                <w:bCs/>
                <w:sz w:val="22"/>
                <w:szCs w:val="22"/>
              </w:rPr>
            </w:pPr>
            <w:r w:rsidRPr="00D9507B">
              <w:rPr>
                <w:rFonts w:asciiTheme="minorHAnsi" w:hAnsiTheme="minorHAnsi" w:cstheme="minorHAnsi"/>
                <w:b/>
                <w:bCs/>
                <w:sz w:val="22"/>
                <w:szCs w:val="22"/>
              </w:rPr>
              <w:t>Applicant Name</w:t>
            </w:r>
          </w:p>
        </w:tc>
        <w:tc>
          <w:tcPr>
            <w:tcW w:w="19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A7B1A5A" w14:textId="2D9E0AAA" w:rsidR="00F9480C" w:rsidRPr="00D9507B" w:rsidRDefault="00340557" w:rsidP="009A46BE">
            <w:pPr>
              <w:pStyle w:val="Default"/>
              <w:rPr>
                <w:rFonts w:asciiTheme="minorHAnsi" w:hAnsiTheme="minorHAnsi" w:cstheme="minorHAnsi"/>
                <w:b/>
                <w:bCs/>
                <w:sz w:val="22"/>
                <w:szCs w:val="22"/>
              </w:rPr>
            </w:pPr>
            <w:r w:rsidRPr="00D9507B">
              <w:rPr>
                <w:rFonts w:asciiTheme="minorHAnsi" w:hAnsiTheme="minorHAnsi" w:cstheme="minorHAnsi"/>
                <w:b/>
                <w:bCs/>
                <w:sz w:val="22"/>
                <w:szCs w:val="22"/>
              </w:rPr>
              <w:t>County</w:t>
            </w:r>
          </w:p>
        </w:tc>
        <w:tc>
          <w:tcPr>
            <w:tcW w:w="19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A7B1A5B" w14:textId="6C457329" w:rsidR="00F9480C" w:rsidRPr="00D9507B" w:rsidRDefault="00340557" w:rsidP="0094663B">
            <w:pPr>
              <w:pStyle w:val="Default"/>
              <w:jc w:val="right"/>
              <w:rPr>
                <w:rFonts w:asciiTheme="minorHAnsi" w:hAnsiTheme="minorHAnsi" w:cstheme="minorHAnsi"/>
                <w:b/>
                <w:sz w:val="22"/>
                <w:szCs w:val="22"/>
              </w:rPr>
            </w:pPr>
            <w:r w:rsidRPr="00D9507B">
              <w:rPr>
                <w:rFonts w:asciiTheme="minorHAnsi" w:hAnsiTheme="minorHAnsi" w:cstheme="minorHAnsi"/>
                <w:b/>
                <w:sz w:val="22"/>
                <w:szCs w:val="22"/>
              </w:rPr>
              <w:t>Award</w:t>
            </w:r>
          </w:p>
        </w:tc>
      </w:tr>
      <w:tr w:rsidR="00623BAB" w:rsidRPr="00D9507B" w14:paraId="2A7B1A60" w14:textId="77777777" w:rsidTr="00DC53B1">
        <w:trPr>
          <w:trHeight w:val="432"/>
        </w:trPr>
        <w:tc>
          <w:tcPr>
            <w:tcW w:w="5310" w:type="dxa"/>
            <w:tcBorders>
              <w:top w:val="single" w:sz="4" w:space="0" w:color="auto"/>
              <w:left w:val="single" w:sz="4" w:space="0" w:color="auto"/>
              <w:bottom w:val="single" w:sz="4" w:space="0" w:color="auto"/>
              <w:right w:val="single" w:sz="4" w:space="0" w:color="auto"/>
            </w:tcBorders>
            <w:shd w:val="clear" w:color="auto" w:fill="auto"/>
          </w:tcPr>
          <w:p w14:paraId="2A7B1A5D" w14:textId="0D1E3363" w:rsidR="00623BAB" w:rsidRPr="00623BAB" w:rsidRDefault="002C35C8" w:rsidP="00623BAB">
            <w:pPr>
              <w:pStyle w:val="Default"/>
              <w:rPr>
                <w:rFonts w:ascii="Calibri" w:hAnsi="Calibri" w:cs="Calibri"/>
                <w:bCs/>
              </w:rPr>
            </w:pPr>
            <w:r w:rsidRPr="002C35C8">
              <w:rPr>
                <w:rFonts w:ascii="Calibri" w:hAnsi="Calibri" w:cs="Calibri"/>
                <w:bCs/>
              </w:rPr>
              <w:t>International Rescue Committee, Inc.</w:t>
            </w:r>
            <w:r>
              <w:rPr>
                <w:rFonts w:ascii="Calibri" w:hAnsi="Calibri" w:cs="Calibri"/>
                <w:bCs/>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A7B1A5E" w14:textId="42DDBD59" w:rsidR="00623BAB" w:rsidRPr="00F30065" w:rsidRDefault="002C35C8" w:rsidP="00623BAB">
            <w:pPr>
              <w:pStyle w:val="Default"/>
              <w:rPr>
                <w:rFonts w:ascii="Calibri" w:hAnsi="Calibri" w:cs="Calibri"/>
                <w:bCs/>
              </w:rPr>
            </w:pPr>
            <w:r>
              <w:rPr>
                <w:rFonts w:ascii="Calibri" w:hAnsi="Calibri" w:cs="Calibri"/>
                <w:bCs/>
              </w:rPr>
              <w:t>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A7B1A5F" w14:textId="122F29D3" w:rsidR="00623BAB" w:rsidRPr="00623BAB" w:rsidRDefault="002C35C8" w:rsidP="00623BAB">
            <w:pPr>
              <w:pStyle w:val="Default"/>
              <w:jc w:val="right"/>
              <w:rPr>
                <w:rFonts w:asciiTheme="minorHAnsi" w:hAnsiTheme="minorHAnsi" w:cstheme="minorHAnsi"/>
              </w:rPr>
            </w:pPr>
            <w:r>
              <w:rPr>
                <w:rFonts w:asciiTheme="minorHAnsi" w:hAnsiTheme="minorHAnsi" w:cstheme="minorHAnsi"/>
              </w:rPr>
              <w:t>$1,000,000.00</w:t>
            </w:r>
          </w:p>
        </w:tc>
      </w:tr>
    </w:tbl>
    <w:p w14:paraId="38D2C807" w14:textId="77777777" w:rsidR="006D66AF" w:rsidRPr="00D9507B" w:rsidRDefault="006D66AF" w:rsidP="00C246E9">
      <w:pPr>
        <w:pStyle w:val="Heading2"/>
        <w:rPr>
          <w:rFonts w:cstheme="minorHAnsi"/>
        </w:rPr>
        <w:sectPr w:rsidR="006D66AF" w:rsidRPr="00D9507B" w:rsidSect="000126A8">
          <w:type w:val="continuous"/>
          <w:pgSz w:w="12240" w:h="15840"/>
          <w:pgMar w:top="1008" w:right="1008" w:bottom="1008" w:left="1008" w:header="720" w:footer="720" w:gutter="0"/>
          <w:cols w:space="720"/>
          <w:titlePg/>
          <w:docGrid w:linePitch="360"/>
        </w:sect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4619D" w:rsidRPr="00D9507B" w14:paraId="2A7B1A6A" w14:textId="77777777" w:rsidTr="0071078A">
        <w:tc>
          <w:tcPr>
            <w:tcW w:w="9350" w:type="dxa"/>
          </w:tcPr>
          <w:p w14:paraId="2A7B1A69" w14:textId="77777777" w:rsidR="00C4619D" w:rsidRPr="00D9507B" w:rsidRDefault="0071078A" w:rsidP="00C246E9">
            <w:pPr>
              <w:pStyle w:val="Heading2"/>
              <w:rPr>
                <w:rFonts w:cstheme="minorHAnsi"/>
              </w:rPr>
            </w:pPr>
            <w:r w:rsidRPr="00D9507B">
              <w:rPr>
                <w:rFonts w:cstheme="minorHAnsi"/>
              </w:rPr>
              <w:lastRenderedPageBreak/>
              <w:t>Project Summaries</w:t>
            </w:r>
          </w:p>
        </w:tc>
      </w:tr>
    </w:tbl>
    <w:p w14:paraId="576979A8" w14:textId="2F9C4C84" w:rsidR="00EF4E2D" w:rsidRPr="00D9507B" w:rsidRDefault="00EF4E2D" w:rsidP="00C4619D">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C4619D" w:rsidRPr="003942DF" w14:paraId="2A7B1A70" w14:textId="77777777" w:rsidTr="007538F6">
        <w:tc>
          <w:tcPr>
            <w:tcW w:w="1975" w:type="dxa"/>
          </w:tcPr>
          <w:p w14:paraId="2A7B1A6C" w14:textId="77777777" w:rsidR="00C4619D" w:rsidRPr="003942DF" w:rsidRDefault="00C4619D" w:rsidP="00B37BB7">
            <w:pPr>
              <w:rPr>
                <w:rFonts w:ascii="Calibri" w:hAnsi="Calibri" w:cs="Calibri"/>
                <w:b/>
                <w:sz w:val="24"/>
                <w:szCs w:val="24"/>
              </w:rPr>
            </w:pPr>
            <w:r w:rsidRPr="003942DF">
              <w:rPr>
                <w:rFonts w:ascii="Calibri" w:hAnsi="Calibri" w:cs="Calibri"/>
                <w:b/>
                <w:sz w:val="24"/>
                <w:szCs w:val="24"/>
              </w:rPr>
              <w:t>APPLICANT</w:t>
            </w:r>
          </w:p>
        </w:tc>
        <w:tc>
          <w:tcPr>
            <w:tcW w:w="7375" w:type="dxa"/>
          </w:tcPr>
          <w:p w14:paraId="3F7621E0" w14:textId="77777777" w:rsidR="00A465C4" w:rsidRPr="00A465C4" w:rsidRDefault="00A465C4" w:rsidP="007538F6">
            <w:pPr>
              <w:rPr>
                <w:rFonts w:ascii="Calibri" w:hAnsi="Calibri" w:cs="Calibri"/>
                <w:b/>
                <w:bCs/>
                <w:sz w:val="24"/>
                <w:szCs w:val="24"/>
              </w:rPr>
            </w:pPr>
            <w:r w:rsidRPr="00A465C4">
              <w:rPr>
                <w:rFonts w:ascii="Calibri" w:hAnsi="Calibri" w:cs="Calibri"/>
                <w:b/>
                <w:bCs/>
                <w:sz w:val="24"/>
                <w:szCs w:val="24"/>
              </w:rPr>
              <w:t xml:space="preserve">International Rescue Committee, Inc. </w:t>
            </w:r>
          </w:p>
          <w:p w14:paraId="4BEE5B57" w14:textId="43C0E14F" w:rsidR="00B617B8" w:rsidRPr="00A465C4" w:rsidRDefault="00A465C4" w:rsidP="007538F6">
            <w:pPr>
              <w:rPr>
                <w:rFonts w:ascii="Calibri" w:hAnsi="Calibri" w:cs="Calibri"/>
                <w:sz w:val="24"/>
                <w:szCs w:val="24"/>
              </w:rPr>
            </w:pPr>
            <w:r w:rsidRPr="00A465C4">
              <w:rPr>
                <w:rFonts w:ascii="Calibri" w:hAnsi="Calibri" w:cs="Calibri"/>
                <w:sz w:val="24"/>
                <w:szCs w:val="24"/>
              </w:rPr>
              <w:t>5348</w:t>
            </w:r>
            <w:r w:rsidR="00B617B8" w:rsidRPr="00A465C4">
              <w:rPr>
                <w:rFonts w:ascii="Calibri" w:hAnsi="Calibri" w:cs="Calibri"/>
                <w:sz w:val="24"/>
                <w:szCs w:val="24"/>
              </w:rPr>
              <w:t xml:space="preserve"> </w:t>
            </w:r>
            <w:r w:rsidRPr="00A465C4">
              <w:rPr>
                <w:rFonts w:ascii="Calibri" w:hAnsi="Calibri" w:cs="Calibri"/>
                <w:sz w:val="24"/>
                <w:szCs w:val="24"/>
              </w:rPr>
              <w:t>University</w:t>
            </w:r>
            <w:r w:rsidR="00B617B8" w:rsidRPr="00A465C4">
              <w:rPr>
                <w:rFonts w:ascii="Calibri" w:hAnsi="Calibri" w:cs="Calibri"/>
                <w:sz w:val="24"/>
                <w:szCs w:val="24"/>
              </w:rPr>
              <w:t xml:space="preserve"> Ave</w:t>
            </w:r>
            <w:r w:rsidRPr="00A465C4">
              <w:rPr>
                <w:rFonts w:ascii="Calibri" w:hAnsi="Calibri" w:cs="Calibri"/>
                <w:sz w:val="24"/>
                <w:szCs w:val="24"/>
              </w:rPr>
              <w:t>, Ste 205</w:t>
            </w:r>
          </w:p>
          <w:p w14:paraId="7300AC84" w14:textId="6425D6E5" w:rsidR="005E57E5" w:rsidRDefault="00A465C4" w:rsidP="00F7314C">
            <w:pPr>
              <w:rPr>
                <w:rFonts w:ascii="Calibri" w:hAnsi="Calibri" w:cs="Calibri"/>
                <w:sz w:val="24"/>
                <w:szCs w:val="24"/>
              </w:rPr>
            </w:pPr>
            <w:r>
              <w:rPr>
                <w:rFonts w:ascii="Calibri" w:hAnsi="Calibri" w:cs="Calibri"/>
                <w:sz w:val="24"/>
                <w:szCs w:val="24"/>
              </w:rPr>
              <w:t>San Diego</w:t>
            </w:r>
            <w:r w:rsidR="00B617B8" w:rsidRPr="00A465C4">
              <w:rPr>
                <w:rFonts w:ascii="Calibri" w:hAnsi="Calibri" w:cs="Calibri"/>
                <w:sz w:val="24"/>
                <w:szCs w:val="24"/>
              </w:rPr>
              <w:t>, CA 9</w:t>
            </w:r>
            <w:r>
              <w:rPr>
                <w:rFonts w:ascii="Calibri" w:hAnsi="Calibri" w:cs="Calibri"/>
                <w:sz w:val="24"/>
                <w:szCs w:val="24"/>
              </w:rPr>
              <w:t>21</w:t>
            </w:r>
            <w:r w:rsidR="00B617B8" w:rsidRPr="00A465C4">
              <w:rPr>
                <w:rFonts w:ascii="Calibri" w:hAnsi="Calibri" w:cs="Calibri"/>
                <w:sz w:val="24"/>
                <w:szCs w:val="24"/>
              </w:rPr>
              <w:t>0</w:t>
            </w:r>
            <w:r>
              <w:rPr>
                <w:rFonts w:ascii="Calibri" w:hAnsi="Calibri" w:cs="Calibri"/>
                <w:sz w:val="24"/>
                <w:szCs w:val="24"/>
              </w:rPr>
              <w:t>5-8025</w:t>
            </w:r>
          </w:p>
          <w:p w14:paraId="2A7B1A6F" w14:textId="698A2029" w:rsidR="00B617B8" w:rsidRPr="003942DF" w:rsidRDefault="00B617B8" w:rsidP="00F7314C">
            <w:pPr>
              <w:rPr>
                <w:rFonts w:ascii="Calibri" w:hAnsi="Calibri" w:cs="Calibri"/>
                <w:sz w:val="24"/>
                <w:szCs w:val="24"/>
              </w:rPr>
            </w:pPr>
          </w:p>
        </w:tc>
      </w:tr>
      <w:tr w:rsidR="00C4619D" w:rsidRPr="003942DF" w14:paraId="2A7B1A76" w14:textId="77777777" w:rsidTr="007538F6">
        <w:tc>
          <w:tcPr>
            <w:tcW w:w="1975" w:type="dxa"/>
          </w:tcPr>
          <w:p w14:paraId="2A7B1A71" w14:textId="193C71E8" w:rsidR="00C4619D" w:rsidRPr="003942DF" w:rsidRDefault="00C4619D" w:rsidP="00B37BB7">
            <w:pPr>
              <w:rPr>
                <w:rFonts w:ascii="Calibri" w:hAnsi="Calibri" w:cs="Calibri"/>
                <w:b/>
                <w:sz w:val="24"/>
                <w:szCs w:val="24"/>
              </w:rPr>
            </w:pPr>
            <w:r w:rsidRPr="003942DF">
              <w:rPr>
                <w:rFonts w:ascii="Calibri" w:hAnsi="Calibri" w:cs="Calibri"/>
                <w:b/>
                <w:sz w:val="24"/>
                <w:szCs w:val="24"/>
              </w:rPr>
              <w:t>CONTACT</w:t>
            </w:r>
          </w:p>
        </w:tc>
        <w:tc>
          <w:tcPr>
            <w:tcW w:w="7375" w:type="dxa"/>
          </w:tcPr>
          <w:p w14:paraId="328DD203" w14:textId="142B5222" w:rsidR="00B617B8" w:rsidRPr="000126A8" w:rsidRDefault="00A465C4" w:rsidP="004E109F">
            <w:pPr>
              <w:rPr>
                <w:rFonts w:ascii="Calibri" w:eastAsia="Calibri" w:hAnsi="Calibri" w:cs="Calibri"/>
                <w:bCs/>
                <w:noProof/>
                <w:sz w:val="24"/>
                <w:szCs w:val="24"/>
              </w:rPr>
            </w:pPr>
            <w:r w:rsidRPr="000126A8">
              <w:rPr>
                <w:rFonts w:ascii="Calibri" w:eastAsia="Calibri" w:hAnsi="Calibri" w:cs="Calibri"/>
                <w:bCs/>
                <w:noProof/>
                <w:sz w:val="24"/>
                <w:szCs w:val="24"/>
              </w:rPr>
              <w:t>Erica</w:t>
            </w:r>
            <w:r w:rsidR="00B617B8" w:rsidRPr="000126A8">
              <w:rPr>
                <w:rFonts w:ascii="Calibri" w:eastAsia="Calibri" w:hAnsi="Calibri" w:cs="Calibri"/>
                <w:bCs/>
                <w:noProof/>
                <w:sz w:val="24"/>
                <w:szCs w:val="24"/>
              </w:rPr>
              <w:t xml:space="preserve"> B</w:t>
            </w:r>
            <w:r w:rsidRPr="000126A8">
              <w:rPr>
                <w:rFonts w:ascii="Calibri" w:eastAsia="Calibri" w:hAnsi="Calibri" w:cs="Calibri"/>
                <w:bCs/>
                <w:noProof/>
                <w:sz w:val="24"/>
                <w:szCs w:val="24"/>
              </w:rPr>
              <w:t>ouris</w:t>
            </w:r>
          </w:p>
          <w:p w14:paraId="1444993D" w14:textId="5A0976A6" w:rsidR="00B617B8" w:rsidRPr="000126A8" w:rsidRDefault="0053402D" w:rsidP="004E109F">
            <w:pPr>
              <w:rPr>
                <w:rFonts w:ascii="Calibri" w:eastAsia="Calibri" w:hAnsi="Calibri" w:cs="Calibri"/>
                <w:sz w:val="24"/>
                <w:szCs w:val="24"/>
              </w:rPr>
            </w:pPr>
            <w:r>
              <w:rPr>
                <w:rFonts w:ascii="Calibri" w:eastAsia="Calibri" w:hAnsi="Calibri" w:cs="Calibri"/>
                <w:sz w:val="24"/>
                <w:szCs w:val="24"/>
              </w:rPr>
              <w:t>1-</w:t>
            </w:r>
            <w:r w:rsidR="00A465C4" w:rsidRPr="000126A8">
              <w:rPr>
                <w:rFonts w:ascii="Calibri" w:eastAsia="Calibri" w:hAnsi="Calibri" w:cs="Calibri"/>
                <w:sz w:val="24"/>
                <w:szCs w:val="24"/>
              </w:rPr>
              <w:t>2</w:t>
            </w:r>
            <w:r w:rsidR="00B617B8" w:rsidRPr="000126A8">
              <w:rPr>
                <w:rFonts w:ascii="Calibri" w:eastAsia="Calibri" w:hAnsi="Calibri" w:cs="Calibri"/>
                <w:sz w:val="24"/>
                <w:szCs w:val="24"/>
              </w:rPr>
              <w:t>1</w:t>
            </w:r>
            <w:r w:rsidR="00A465C4" w:rsidRPr="000126A8">
              <w:rPr>
                <w:rFonts w:ascii="Calibri" w:eastAsia="Calibri" w:hAnsi="Calibri" w:cs="Calibri"/>
                <w:sz w:val="24"/>
                <w:szCs w:val="24"/>
              </w:rPr>
              <w:t>2</w:t>
            </w:r>
            <w:r w:rsidR="00B617B8" w:rsidRPr="000126A8">
              <w:rPr>
                <w:rFonts w:ascii="Calibri" w:eastAsia="Calibri" w:hAnsi="Calibri" w:cs="Calibri"/>
                <w:sz w:val="24"/>
                <w:szCs w:val="24"/>
              </w:rPr>
              <w:t>-</w:t>
            </w:r>
            <w:r w:rsidR="00A465C4" w:rsidRPr="000126A8">
              <w:rPr>
                <w:rFonts w:ascii="Calibri" w:eastAsia="Calibri" w:hAnsi="Calibri" w:cs="Calibri"/>
                <w:sz w:val="24"/>
                <w:szCs w:val="24"/>
              </w:rPr>
              <w:t>551</w:t>
            </w:r>
            <w:r w:rsidR="00B617B8" w:rsidRPr="000126A8">
              <w:rPr>
                <w:rFonts w:ascii="Calibri" w:eastAsia="Calibri" w:hAnsi="Calibri" w:cs="Calibri"/>
                <w:sz w:val="24"/>
                <w:szCs w:val="24"/>
              </w:rPr>
              <w:t>-</w:t>
            </w:r>
            <w:r w:rsidR="00A465C4" w:rsidRPr="000126A8">
              <w:rPr>
                <w:rFonts w:ascii="Calibri" w:eastAsia="Calibri" w:hAnsi="Calibri" w:cs="Calibri"/>
                <w:sz w:val="24"/>
                <w:szCs w:val="24"/>
              </w:rPr>
              <w:t>3000</w:t>
            </w:r>
          </w:p>
          <w:p w14:paraId="68458A02" w14:textId="657FA2B4" w:rsidR="00826C66" w:rsidRPr="000126A8" w:rsidRDefault="00F44EFA" w:rsidP="007538F6">
            <w:pPr>
              <w:rPr>
                <w:sz w:val="24"/>
                <w:szCs w:val="24"/>
              </w:rPr>
            </w:pPr>
            <w:hyperlink r:id="rId13" w:history="1">
              <w:r w:rsidR="00A465C4" w:rsidRPr="000126A8">
                <w:rPr>
                  <w:rStyle w:val="Hyperlink"/>
                  <w:sz w:val="24"/>
                  <w:szCs w:val="24"/>
                  <w:u w:val="none"/>
                </w:rPr>
                <w:t>Erica.Bouris@rescue.org</w:t>
              </w:r>
            </w:hyperlink>
          </w:p>
          <w:p w14:paraId="2A7B1A75" w14:textId="08E22F84" w:rsidR="00B617B8" w:rsidRPr="000126A8" w:rsidRDefault="00B617B8" w:rsidP="007538F6">
            <w:pPr>
              <w:rPr>
                <w:rFonts w:ascii="Calibri" w:hAnsi="Calibri" w:cs="Calibri"/>
                <w:sz w:val="24"/>
                <w:szCs w:val="24"/>
              </w:rPr>
            </w:pPr>
          </w:p>
        </w:tc>
      </w:tr>
      <w:tr w:rsidR="00C4619D" w:rsidRPr="003942DF" w14:paraId="2A7B1A79" w14:textId="77777777" w:rsidTr="007538F6">
        <w:trPr>
          <w:trHeight w:val="432"/>
        </w:trPr>
        <w:tc>
          <w:tcPr>
            <w:tcW w:w="1975" w:type="dxa"/>
          </w:tcPr>
          <w:p w14:paraId="2A7B1A77" w14:textId="77777777" w:rsidR="00C4619D" w:rsidRPr="003942DF" w:rsidRDefault="00C4619D" w:rsidP="00B37BB7">
            <w:pPr>
              <w:rPr>
                <w:rFonts w:ascii="Calibri" w:hAnsi="Calibri" w:cs="Calibri"/>
                <w:b/>
                <w:sz w:val="24"/>
                <w:szCs w:val="24"/>
              </w:rPr>
            </w:pPr>
            <w:r w:rsidRPr="003942DF">
              <w:rPr>
                <w:rFonts w:ascii="Calibri" w:hAnsi="Calibri" w:cs="Calibri"/>
                <w:b/>
                <w:sz w:val="24"/>
                <w:szCs w:val="24"/>
              </w:rPr>
              <w:t>AWARD</w:t>
            </w:r>
          </w:p>
        </w:tc>
        <w:tc>
          <w:tcPr>
            <w:tcW w:w="7375" w:type="dxa"/>
          </w:tcPr>
          <w:p w14:paraId="2A7B1A78" w14:textId="4DD06963" w:rsidR="00C4619D" w:rsidRPr="000126A8" w:rsidRDefault="00A92296" w:rsidP="00775A64">
            <w:pPr>
              <w:rPr>
                <w:rFonts w:ascii="Calibri" w:hAnsi="Calibri" w:cs="Calibri"/>
                <w:sz w:val="24"/>
                <w:szCs w:val="24"/>
              </w:rPr>
            </w:pPr>
            <w:r w:rsidRPr="000126A8">
              <w:rPr>
                <w:rFonts w:ascii="Calibri" w:hAnsi="Calibri" w:cs="Calibri"/>
                <w:sz w:val="24"/>
                <w:szCs w:val="24"/>
              </w:rPr>
              <w:t xml:space="preserve">$ </w:t>
            </w:r>
            <w:r w:rsidR="00A465C4" w:rsidRPr="000126A8">
              <w:rPr>
                <w:rFonts w:ascii="Calibri" w:hAnsi="Calibri" w:cs="Calibri"/>
                <w:sz w:val="24"/>
                <w:szCs w:val="24"/>
              </w:rPr>
              <w:t>1,000,000.00</w:t>
            </w:r>
          </w:p>
        </w:tc>
      </w:tr>
      <w:tr w:rsidR="00C4619D" w:rsidRPr="003942DF" w14:paraId="2A7B1A7C" w14:textId="77777777" w:rsidTr="007538F6">
        <w:trPr>
          <w:trHeight w:val="567"/>
        </w:trPr>
        <w:tc>
          <w:tcPr>
            <w:tcW w:w="1975" w:type="dxa"/>
          </w:tcPr>
          <w:p w14:paraId="534EEE45" w14:textId="5BFB1205" w:rsidR="00C4619D" w:rsidRDefault="000C1656" w:rsidP="00B37BB7">
            <w:pPr>
              <w:rPr>
                <w:rFonts w:ascii="Calibri" w:hAnsi="Calibri" w:cs="Calibri"/>
                <w:b/>
                <w:sz w:val="24"/>
                <w:szCs w:val="24"/>
              </w:rPr>
            </w:pPr>
            <w:r>
              <w:rPr>
                <w:rFonts w:ascii="Calibri" w:hAnsi="Calibri" w:cs="Calibri"/>
                <w:b/>
                <w:sz w:val="24"/>
                <w:szCs w:val="24"/>
              </w:rPr>
              <w:t>COUNTIES TO BE SERVED</w:t>
            </w:r>
          </w:p>
          <w:p w14:paraId="2A7B1A7A" w14:textId="7A817413" w:rsidR="000C1656" w:rsidRPr="003942DF" w:rsidRDefault="000C1656" w:rsidP="00B37BB7">
            <w:pPr>
              <w:rPr>
                <w:rFonts w:ascii="Calibri" w:hAnsi="Calibri" w:cs="Calibri"/>
                <w:b/>
                <w:sz w:val="24"/>
                <w:szCs w:val="24"/>
              </w:rPr>
            </w:pPr>
          </w:p>
        </w:tc>
        <w:tc>
          <w:tcPr>
            <w:tcW w:w="7375" w:type="dxa"/>
          </w:tcPr>
          <w:p w14:paraId="2A7B1A7B" w14:textId="0228BDF2" w:rsidR="00C4619D" w:rsidRPr="000126A8" w:rsidRDefault="00F40AB7" w:rsidP="004F2406">
            <w:pPr>
              <w:rPr>
                <w:rFonts w:ascii="Calibri" w:hAnsi="Calibri" w:cs="Calibri"/>
                <w:sz w:val="24"/>
                <w:szCs w:val="24"/>
              </w:rPr>
            </w:pPr>
            <w:r w:rsidRPr="000126A8">
              <w:rPr>
                <w:rFonts w:ascii="Calibri" w:hAnsi="Calibri" w:cs="Calibri"/>
                <w:sz w:val="24"/>
                <w:szCs w:val="24"/>
              </w:rPr>
              <w:t>N/A</w:t>
            </w:r>
          </w:p>
        </w:tc>
      </w:tr>
      <w:tr w:rsidR="00C4619D" w:rsidRPr="003942DF" w14:paraId="2A7B1A81" w14:textId="77777777" w:rsidTr="007538F6">
        <w:tc>
          <w:tcPr>
            <w:tcW w:w="1975" w:type="dxa"/>
          </w:tcPr>
          <w:p w14:paraId="2A7B1A7D" w14:textId="12D8F341" w:rsidR="00C4619D" w:rsidRPr="003942DF" w:rsidRDefault="00C4619D" w:rsidP="00B37BB7">
            <w:pPr>
              <w:rPr>
                <w:rFonts w:ascii="Calibri" w:hAnsi="Calibri" w:cs="Calibri"/>
                <w:b/>
                <w:sz w:val="24"/>
                <w:szCs w:val="24"/>
              </w:rPr>
            </w:pPr>
            <w:r w:rsidRPr="003942DF">
              <w:rPr>
                <w:rFonts w:ascii="Calibri" w:hAnsi="Calibri" w:cs="Calibri"/>
                <w:b/>
                <w:sz w:val="24"/>
                <w:szCs w:val="24"/>
              </w:rPr>
              <w:t xml:space="preserve">TARGETED </w:t>
            </w:r>
            <w:r w:rsidR="00E34457">
              <w:rPr>
                <w:rFonts w:ascii="Calibri" w:hAnsi="Calibri" w:cs="Calibri"/>
                <w:b/>
                <w:sz w:val="24"/>
                <w:szCs w:val="24"/>
              </w:rPr>
              <w:t>POPULATION EXPERTISE</w:t>
            </w:r>
          </w:p>
          <w:p w14:paraId="2A7B1A7E" w14:textId="77777777" w:rsidR="007538F6" w:rsidRPr="003942DF" w:rsidRDefault="007538F6" w:rsidP="00B37BB7">
            <w:pPr>
              <w:rPr>
                <w:rFonts w:ascii="Calibri" w:hAnsi="Calibri" w:cs="Calibri"/>
                <w:b/>
                <w:sz w:val="24"/>
                <w:szCs w:val="24"/>
              </w:rPr>
            </w:pPr>
          </w:p>
        </w:tc>
        <w:tc>
          <w:tcPr>
            <w:tcW w:w="7375" w:type="dxa"/>
          </w:tcPr>
          <w:p w14:paraId="6DB0EA1C" w14:textId="51B1BB74" w:rsidR="007538F6" w:rsidRPr="000126A8" w:rsidRDefault="00846345" w:rsidP="007538F6">
            <w:pPr>
              <w:rPr>
                <w:rFonts w:ascii="Calibri" w:hAnsi="Calibri" w:cs="Calibri"/>
                <w:sz w:val="24"/>
                <w:szCs w:val="24"/>
              </w:rPr>
            </w:pPr>
            <w:r w:rsidRPr="000126A8">
              <w:rPr>
                <w:rFonts w:ascii="Calibri" w:hAnsi="Calibri" w:cs="Calibri"/>
                <w:sz w:val="24"/>
                <w:szCs w:val="24"/>
              </w:rPr>
              <w:t>IRC brings significant experience serving ELL, immigrant, and refugee populations. IRC maintains a robust portfolio of TA and evaluation projects focused on education and workforce for ELL and immigrant populations, including having served as the lead for TA and evaluation on the California Employment Development Department (EDD) ELL IET Co-Enrollment Pilot Program PY 20-21</w:t>
            </w:r>
            <w:r w:rsidR="006F5CE6" w:rsidRPr="000126A8">
              <w:rPr>
                <w:rFonts w:ascii="Calibri" w:hAnsi="Calibri" w:cs="Calibri"/>
                <w:sz w:val="24"/>
                <w:szCs w:val="24"/>
              </w:rPr>
              <w:t xml:space="preserve"> </w:t>
            </w:r>
            <w:r w:rsidRPr="000126A8">
              <w:rPr>
                <w:rFonts w:ascii="Calibri" w:hAnsi="Calibri" w:cs="Calibri"/>
                <w:sz w:val="24"/>
                <w:szCs w:val="24"/>
              </w:rPr>
              <w:t xml:space="preserve">and the ELL Navigator Pilot Program PY 18-19.  </w:t>
            </w:r>
          </w:p>
          <w:p w14:paraId="2A7B1A80" w14:textId="722FDC1A" w:rsidR="00846345" w:rsidRPr="000126A8" w:rsidRDefault="00846345" w:rsidP="007538F6">
            <w:pPr>
              <w:rPr>
                <w:rFonts w:ascii="Calibri" w:hAnsi="Calibri" w:cs="Calibri"/>
                <w:sz w:val="24"/>
                <w:szCs w:val="24"/>
              </w:rPr>
            </w:pPr>
          </w:p>
        </w:tc>
      </w:tr>
      <w:tr w:rsidR="00C4619D" w:rsidRPr="003942DF" w14:paraId="2A7B1A85" w14:textId="77777777" w:rsidTr="000959DC">
        <w:trPr>
          <w:trHeight w:val="603"/>
        </w:trPr>
        <w:tc>
          <w:tcPr>
            <w:tcW w:w="1975" w:type="dxa"/>
          </w:tcPr>
          <w:p w14:paraId="2A7B1A82" w14:textId="77777777" w:rsidR="00C4619D" w:rsidRPr="003942DF" w:rsidRDefault="00C4619D" w:rsidP="00B37BB7">
            <w:pPr>
              <w:rPr>
                <w:rFonts w:ascii="Calibri" w:hAnsi="Calibri" w:cs="Calibri"/>
                <w:b/>
                <w:sz w:val="24"/>
                <w:szCs w:val="24"/>
              </w:rPr>
            </w:pPr>
            <w:r w:rsidRPr="003942DF">
              <w:rPr>
                <w:rFonts w:ascii="Calibri" w:hAnsi="Calibri" w:cs="Calibri"/>
                <w:b/>
                <w:sz w:val="24"/>
                <w:szCs w:val="24"/>
              </w:rPr>
              <w:t>KEY PARTNERS</w:t>
            </w:r>
          </w:p>
        </w:tc>
        <w:tc>
          <w:tcPr>
            <w:tcW w:w="7375" w:type="dxa"/>
          </w:tcPr>
          <w:p w14:paraId="1E927522" w14:textId="7DAA84EE" w:rsidR="00846345" w:rsidRPr="000126A8" w:rsidRDefault="00846345" w:rsidP="00846345">
            <w:pPr>
              <w:pStyle w:val="Header"/>
              <w:rPr>
                <w:rFonts w:ascii="Calibri" w:hAnsi="Calibri" w:cs="Calibri"/>
                <w:b/>
                <w:sz w:val="24"/>
                <w:szCs w:val="24"/>
              </w:rPr>
            </w:pPr>
            <w:r w:rsidRPr="000126A8">
              <w:rPr>
                <w:rFonts w:ascii="Calibri" w:hAnsi="Calibri" w:cs="Calibri"/>
                <w:sz w:val="24"/>
                <w:szCs w:val="24"/>
              </w:rPr>
              <w:t>The Council on Adult and Experiential Learning</w:t>
            </w:r>
            <w:r w:rsidRPr="000126A8">
              <w:rPr>
                <w:rFonts w:ascii="Calibri" w:hAnsi="Calibri" w:cs="Calibri"/>
                <w:color w:val="000000"/>
                <w:sz w:val="24"/>
                <w:szCs w:val="24"/>
              </w:rPr>
              <w:t xml:space="preserve"> (CAEL) will provide TA with a focus on supporting IET instructional staff in strengthening their technical knowledge and skills.  </w:t>
            </w:r>
          </w:p>
          <w:p w14:paraId="7DDD7B37" w14:textId="77777777" w:rsidR="00E81F29" w:rsidRPr="000126A8" w:rsidRDefault="00846345" w:rsidP="00846345">
            <w:pPr>
              <w:widowControl w:val="0"/>
              <w:autoSpaceDE w:val="0"/>
              <w:autoSpaceDN w:val="0"/>
              <w:adjustRightInd w:val="0"/>
              <w:contextualSpacing/>
              <w:rPr>
                <w:rFonts w:ascii="Calibri" w:hAnsi="Calibri" w:cs="Calibri"/>
                <w:color w:val="000000"/>
                <w:sz w:val="24"/>
                <w:szCs w:val="24"/>
              </w:rPr>
            </w:pPr>
            <w:r w:rsidRPr="000126A8">
              <w:rPr>
                <w:rFonts w:ascii="Calibri" w:hAnsi="Calibri" w:cs="Calibri"/>
                <w:sz w:val="24"/>
                <w:szCs w:val="24"/>
              </w:rPr>
              <w:t>Social Policy Research Associates (</w:t>
            </w:r>
            <w:r w:rsidRPr="000126A8">
              <w:rPr>
                <w:rFonts w:ascii="Calibri" w:hAnsi="Calibri" w:cs="Calibri"/>
                <w:color w:val="000000"/>
                <w:sz w:val="24"/>
                <w:szCs w:val="24"/>
              </w:rPr>
              <w:t xml:space="preserve">SPR) will serve as an evaluation partner on the project team.  </w:t>
            </w:r>
          </w:p>
          <w:p w14:paraId="2A7B1A84" w14:textId="688CC8F0" w:rsidR="00846345" w:rsidRPr="000126A8" w:rsidRDefault="00846345" w:rsidP="00846345">
            <w:pPr>
              <w:widowControl w:val="0"/>
              <w:autoSpaceDE w:val="0"/>
              <w:autoSpaceDN w:val="0"/>
              <w:adjustRightInd w:val="0"/>
              <w:contextualSpacing/>
              <w:rPr>
                <w:rFonts w:ascii="Calibri" w:hAnsi="Calibri" w:cs="Calibri"/>
                <w:sz w:val="24"/>
                <w:szCs w:val="24"/>
              </w:rPr>
            </w:pPr>
          </w:p>
        </w:tc>
      </w:tr>
      <w:tr w:rsidR="00C4619D" w:rsidRPr="003942DF" w14:paraId="2A7B1A8A" w14:textId="77777777" w:rsidTr="007538F6">
        <w:tc>
          <w:tcPr>
            <w:tcW w:w="1975" w:type="dxa"/>
          </w:tcPr>
          <w:p w14:paraId="2A7B1A86" w14:textId="77777777" w:rsidR="00C4619D" w:rsidRPr="003942DF" w:rsidRDefault="00C4619D" w:rsidP="00B37BB7">
            <w:pPr>
              <w:rPr>
                <w:rFonts w:ascii="Calibri" w:hAnsi="Calibri" w:cs="Calibri"/>
                <w:b/>
                <w:sz w:val="24"/>
                <w:szCs w:val="24"/>
              </w:rPr>
            </w:pPr>
            <w:r w:rsidRPr="003942DF">
              <w:rPr>
                <w:rFonts w:ascii="Calibri" w:hAnsi="Calibri" w:cs="Calibri"/>
                <w:b/>
                <w:sz w:val="24"/>
                <w:szCs w:val="24"/>
              </w:rPr>
              <w:t>PROJECT DESCRIPTION</w:t>
            </w:r>
          </w:p>
        </w:tc>
        <w:tc>
          <w:tcPr>
            <w:tcW w:w="7375" w:type="dxa"/>
          </w:tcPr>
          <w:p w14:paraId="52425B43" w14:textId="3C14B24A" w:rsidR="000C1656" w:rsidRPr="000126A8" w:rsidRDefault="00846345" w:rsidP="000C1656">
            <w:pPr>
              <w:rPr>
                <w:rFonts w:ascii="Calibri" w:eastAsia="Arial" w:hAnsi="Calibri" w:cs="Calibri"/>
                <w:bCs/>
                <w:sz w:val="24"/>
                <w:szCs w:val="24"/>
              </w:rPr>
            </w:pPr>
            <w:r w:rsidRPr="000126A8">
              <w:rPr>
                <w:rFonts w:ascii="Calibri" w:hAnsi="Calibri" w:cs="Calibri"/>
                <w:bCs/>
                <w:sz w:val="24"/>
                <w:szCs w:val="24"/>
              </w:rPr>
              <w:t>IRC’s proposed technical assistance (TA)</w:t>
            </w:r>
            <w:r w:rsidRPr="000126A8">
              <w:rPr>
                <w:rFonts w:ascii="Calibri" w:hAnsi="Calibri" w:cs="Calibri"/>
                <w:sz w:val="24"/>
                <w:szCs w:val="24"/>
              </w:rPr>
              <w:t xml:space="preserve"> plan includes CoPs, webinars, office hours, grantee coaching, toolkits, workshops, site visits, and convenings to advance project knowledge, skills, and practices. Topics will be responsive to grantee needs and advance equitable outcomes for ELLs.  Topics will include outreach, IET program development, job development, wrap-around services, co-case management, using program data for continuous improvement, as well as strategies to build and sustain collaborative teams and support integrated regional service provider networks. The development evaluation (DE) includes using a mixed methods approach that integrates a range of quantitative metrics (at the individual participant and institutional level) and in-depth qualitative data gathered through stakeholder interviews, coaching sessions, convenings, and grantee profiles.  Learnings from the DE will be included in a final evaluation report and shared with project partners and the public – including education, workforce, and community organizations – through a webinar.</w:t>
            </w:r>
          </w:p>
          <w:p w14:paraId="52090BEC" w14:textId="77777777" w:rsidR="000C1656" w:rsidRPr="000126A8" w:rsidRDefault="000C1656" w:rsidP="000C1656">
            <w:pPr>
              <w:rPr>
                <w:rFonts w:ascii="Calibri" w:eastAsia="Arial" w:hAnsi="Calibri" w:cs="Calibri"/>
                <w:bCs/>
                <w:sz w:val="24"/>
                <w:szCs w:val="24"/>
              </w:rPr>
            </w:pPr>
          </w:p>
          <w:p w14:paraId="2A7B1A89" w14:textId="118D4FF2" w:rsidR="00927D78" w:rsidRPr="000126A8" w:rsidRDefault="00927D78" w:rsidP="000C1656">
            <w:pPr>
              <w:rPr>
                <w:rFonts w:ascii="Calibri" w:hAnsi="Calibri" w:cs="Calibri"/>
                <w:sz w:val="24"/>
                <w:szCs w:val="24"/>
              </w:rPr>
            </w:pPr>
          </w:p>
        </w:tc>
      </w:tr>
      <w:tr w:rsidR="000C1656" w:rsidRPr="003942DF" w14:paraId="2A7B1A8D" w14:textId="77777777" w:rsidTr="007538F6">
        <w:tc>
          <w:tcPr>
            <w:tcW w:w="1975" w:type="dxa"/>
          </w:tcPr>
          <w:p w14:paraId="2A7B1A8B" w14:textId="50C6E732" w:rsidR="000C1656" w:rsidRPr="003942DF" w:rsidRDefault="00E34457" w:rsidP="000C1656">
            <w:pPr>
              <w:rPr>
                <w:rFonts w:ascii="Calibri" w:hAnsi="Calibri" w:cs="Calibri"/>
                <w:b/>
                <w:sz w:val="24"/>
                <w:szCs w:val="24"/>
              </w:rPr>
            </w:pPr>
            <w:r>
              <w:rPr>
                <w:rFonts w:ascii="Calibri" w:hAnsi="Calibri" w:cs="Calibri"/>
                <w:b/>
                <w:sz w:val="24"/>
                <w:szCs w:val="24"/>
              </w:rPr>
              <w:lastRenderedPageBreak/>
              <w:t xml:space="preserve">TECHNICAL </w:t>
            </w:r>
            <w:r w:rsidR="00D9488F">
              <w:rPr>
                <w:rFonts w:ascii="Calibri" w:hAnsi="Calibri" w:cs="Calibri"/>
                <w:b/>
                <w:sz w:val="24"/>
                <w:szCs w:val="24"/>
              </w:rPr>
              <w:t>ASSISTANCE</w:t>
            </w:r>
            <w:r w:rsidR="000C1656">
              <w:rPr>
                <w:rFonts w:ascii="Calibri" w:hAnsi="Calibri" w:cs="Calibri"/>
                <w:b/>
                <w:sz w:val="24"/>
                <w:szCs w:val="24"/>
              </w:rPr>
              <w:t xml:space="preserve"> PLAN FOR TARGETED POPULATIONS TO BE SERVED</w:t>
            </w:r>
            <w:r w:rsidR="000C1656" w:rsidRPr="003942DF">
              <w:rPr>
                <w:rFonts w:ascii="Calibri" w:hAnsi="Calibri" w:cs="Calibri"/>
                <w:b/>
                <w:sz w:val="24"/>
                <w:szCs w:val="24"/>
              </w:rPr>
              <w:t xml:space="preserve"> </w:t>
            </w:r>
          </w:p>
        </w:tc>
        <w:tc>
          <w:tcPr>
            <w:tcW w:w="7375" w:type="dxa"/>
          </w:tcPr>
          <w:p w14:paraId="2A7B1A8C" w14:textId="62515495" w:rsidR="000959DC" w:rsidRPr="000126A8" w:rsidRDefault="00846345" w:rsidP="000959DC">
            <w:pPr>
              <w:rPr>
                <w:sz w:val="24"/>
                <w:szCs w:val="24"/>
              </w:rPr>
            </w:pPr>
            <w:r w:rsidRPr="000126A8">
              <w:rPr>
                <w:rFonts w:ascii="Calibri" w:hAnsi="Calibri" w:cs="Calibri"/>
                <w:sz w:val="24"/>
                <w:szCs w:val="24"/>
              </w:rPr>
              <w:t xml:space="preserve">IRC will provide an accessible virtual forum </w:t>
            </w:r>
            <w:r w:rsidR="00D9488F" w:rsidRPr="000126A8">
              <w:rPr>
                <w:rFonts w:ascii="Calibri" w:hAnsi="Calibri" w:cs="Calibri"/>
                <w:sz w:val="24"/>
                <w:szCs w:val="24"/>
              </w:rPr>
              <w:t>using</w:t>
            </w:r>
            <w:r w:rsidRPr="000126A8">
              <w:rPr>
                <w:rFonts w:ascii="Calibri" w:hAnsi="Calibri" w:cs="Calibri"/>
                <w:sz w:val="24"/>
                <w:szCs w:val="24"/>
              </w:rPr>
              <w:t xml:space="preserve"> user-friendly technology platforms and tools, including tools that incorporate both synchronous and asynchronous interactivity. TA activities during CoPs, workshops, and convenings will also foster grantee engagement </w:t>
            </w:r>
            <w:r w:rsidR="00D9488F" w:rsidRPr="000126A8">
              <w:rPr>
                <w:rFonts w:ascii="Calibri" w:hAnsi="Calibri" w:cs="Calibri"/>
                <w:sz w:val="24"/>
                <w:szCs w:val="24"/>
              </w:rPr>
              <w:t>using</w:t>
            </w:r>
            <w:r w:rsidRPr="000126A8">
              <w:rPr>
                <w:rFonts w:ascii="Calibri" w:hAnsi="Calibri" w:cs="Calibri"/>
                <w:sz w:val="24"/>
                <w:szCs w:val="24"/>
              </w:rPr>
              <w:t xml:space="preserve"> facilitated peer exchanges, small group breakout sessions, collaborative solutioning to identified challenges, and more.</w:t>
            </w:r>
          </w:p>
        </w:tc>
      </w:tr>
      <w:tr w:rsidR="000C1656" w:rsidRPr="003942DF" w14:paraId="2A7B1A93" w14:textId="77777777" w:rsidTr="00ED6F27">
        <w:tc>
          <w:tcPr>
            <w:tcW w:w="1975" w:type="dxa"/>
          </w:tcPr>
          <w:p w14:paraId="09D2CF27" w14:textId="77777777" w:rsidR="000959DC" w:rsidRDefault="000959DC" w:rsidP="000C1656">
            <w:pPr>
              <w:rPr>
                <w:rFonts w:ascii="Calibri" w:hAnsi="Calibri" w:cs="Calibri"/>
                <w:b/>
                <w:sz w:val="24"/>
                <w:szCs w:val="24"/>
              </w:rPr>
            </w:pPr>
            <w:bookmarkStart w:id="1" w:name="_Hlk146284019"/>
          </w:p>
          <w:p w14:paraId="17A8D3CC" w14:textId="42D1E88A" w:rsidR="000959DC" w:rsidRDefault="000C1656" w:rsidP="000C1656">
            <w:pPr>
              <w:rPr>
                <w:rFonts w:ascii="Calibri" w:hAnsi="Calibri" w:cs="Calibri"/>
                <w:b/>
                <w:sz w:val="24"/>
                <w:szCs w:val="24"/>
              </w:rPr>
            </w:pPr>
            <w:r>
              <w:rPr>
                <w:rFonts w:ascii="Calibri" w:hAnsi="Calibri" w:cs="Calibri"/>
                <w:b/>
                <w:sz w:val="24"/>
                <w:szCs w:val="24"/>
              </w:rPr>
              <w:t xml:space="preserve">PROPOSED </w:t>
            </w:r>
          </w:p>
          <w:p w14:paraId="2A7B1A8F" w14:textId="41849DDC" w:rsidR="000C1656" w:rsidRPr="003942DF" w:rsidRDefault="000C1656" w:rsidP="000C1656">
            <w:pPr>
              <w:rPr>
                <w:rFonts w:ascii="Calibri" w:hAnsi="Calibri" w:cs="Calibri"/>
                <w:b/>
                <w:sz w:val="24"/>
                <w:szCs w:val="24"/>
              </w:rPr>
            </w:pPr>
            <w:r>
              <w:rPr>
                <w:rFonts w:ascii="Calibri" w:hAnsi="Calibri" w:cs="Calibri"/>
                <w:b/>
                <w:sz w:val="24"/>
                <w:szCs w:val="24"/>
              </w:rPr>
              <w:t>OUTCOME</w:t>
            </w:r>
          </w:p>
        </w:tc>
        <w:tc>
          <w:tcPr>
            <w:tcW w:w="7375" w:type="dxa"/>
          </w:tcPr>
          <w:p w14:paraId="7AA51F94" w14:textId="77777777" w:rsidR="006E33D0" w:rsidRPr="000126A8" w:rsidRDefault="006E33D0" w:rsidP="000C1656">
            <w:pPr>
              <w:rPr>
                <w:sz w:val="24"/>
                <w:szCs w:val="24"/>
              </w:rPr>
            </w:pPr>
          </w:p>
          <w:p w14:paraId="2A7B1A92" w14:textId="326FE7A0" w:rsidR="000959DC" w:rsidRPr="000126A8" w:rsidRDefault="00846345" w:rsidP="000C1656">
            <w:pPr>
              <w:rPr>
                <w:rFonts w:ascii="Calibri" w:hAnsi="Calibri" w:cs="Calibri"/>
                <w:sz w:val="24"/>
                <w:szCs w:val="24"/>
              </w:rPr>
            </w:pPr>
            <w:r w:rsidRPr="000126A8">
              <w:rPr>
                <w:rFonts w:ascii="Calibri" w:hAnsi="Calibri" w:cs="Calibri"/>
                <w:sz w:val="24"/>
                <w:szCs w:val="24"/>
              </w:rPr>
              <w:t>Proposed short-term outcomes include an increase in knowledge, skills, and capacity within project grantees as relates to their ability to develop, implement, and sustain high-quality IET programs that effectively serve diverse ELL populations in their regions. Further, short-term outcomes include regional education and workforce systems that are more equitably serving ELL populations within their broader community and fostering more equitable outcomes – especially as pertains to education and career milestones – within these populations.</w:t>
            </w:r>
            <w:r w:rsidR="00D9488F" w:rsidRPr="000126A8">
              <w:rPr>
                <w:rFonts w:ascii="Calibri" w:hAnsi="Calibri" w:cs="Calibri"/>
                <w:sz w:val="24"/>
                <w:szCs w:val="24"/>
              </w:rPr>
              <w:t xml:space="preserve"> </w:t>
            </w:r>
            <w:r w:rsidRPr="000126A8">
              <w:rPr>
                <w:rFonts w:ascii="Calibri" w:hAnsi="Calibri" w:cs="Calibri"/>
                <w:sz w:val="24"/>
                <w:szCs w:val="24"/>
              </w:rPr>
              <w:t>Proposed long-term outcomes include institutions that have local program and administrative policies in place that support the rapid, streamlined development and launch of IET programs and service provider networks that have sustainably integrated ELL and immigrant communities and service providers into their regional strategies and activities. In addition, a long-term outcome is continued advances in equitable access to and benefits from education and workforce systems across California for ELL populations.</w:t>
            </w:r>
          </w:p>
        </w:tc>
      </w:tr>
      <w:bookmarkEnd w:id="1"/>
    </w:tbl>
    <w:p w14:paraId="1D3EA269" w14:textId="20A56535" w:rsidR="006F5CE6" w:rsidRPr="006F5CE6" w:rsidRDefault="006F5CE6" w:rsidP="006F5CE6">
      <w:pPr>
        <w:tabs>
          <w:tab w:val="left" w:pos="1051"/>
        </w:tabs>
        <w:rPr>
          <w:rFonts w:ascii="Calibri" w:hAnsi="Calibri" w:cs="Calibri"/>
          <w:sz w:val="24"/>
          <w:szCs w:val="24"/>
        </w:rPr>
      </w:pPr>
    </w:p>
    <w:sectPr w:rsidR="006F5CE6" w:rsidRPr="006F5CE6" w:rsidSect="00C246E9">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B1AB6" w14:textId="77777777" w:rsidR="00D248CB" w:rsidRDefault="00D248CB" w:rsidP="00C4619D">
      <w:pPr>
        <w:spacing w:after="0" w:line="240" w:lineRule="auto"/>
      </w:pPr>
      <w:r>
        <w:separator/>
      </w:r>
    </w:p>
  </w:endnote>
  <w:endnote w:type="continuationSeparator" w:id="0">
    <w:p w14:paraId="2A7B1AB7" w14:textId="77777777" w:rsidR="00D248CB" w:rsidRDefault="00D248CB" w:rsidP="00C4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299533"/>
      <w:docPartObj>
        <w:docPartGallery w:val="Page Numbers (Bottom of Page)"/>
        <w:docPartUnique/>
      </w:docPartObj>
    </w:sdtPr>
    <w:sdtEndPr/>
    <w:sdtContent>
      <w:sdt>
        <w:sdtPr>
          <w:id w:val="-362210732"/>
          <w:docPartObj>
            <w:docPartGallery w:val="Page Numbers (Top of Page)"/>
            <w:docPartUnique/>
          </w:docPartObj>
        </w:sdtPr>
        <w:sdtEndPr/>
        <w:sdtContent>
          <w:p w14:paraId="026E4418" w14:textId="1DE41EFE" w:rsidR="000F43C2" w:rsidRDefault="000F43C2" w:rsidP="003A6798">
            <w:pPr>
              <w:pStyle w:val="Footer"/>
            </w:pPr>
            <w:r w:rsidRPr="000F43C2">
              <w:rPr>
                <w:sz w:val="24"/>
                <w:szCs w:val="24"/>
              </w:rPr>
              <w:t>ELL IET TA DE SFP PY 2022-23</w:t>
            </w:r>
            <w:r w:rsidRPr="00C246E9">
              <w:rPr>
                <w:sz w:val="24"/>
                <w:szCs w:val="24"/>
              </w:rPr>
              <w:tab/>
            </w:r>
            <w:r w:rsidRPr="00C246E9">
              <w:rPr>
                <w:sz w:val="24"/>
                <w:szCs w:val="24"/>
              </w:rPr>
              <w:tab/>
              <w:t xml:space="preserve">Page </w:t>
            </w:r>
            <w:r w:rsidRPr="00C246E9">
              <w:rPr>
                <w:bCs/>
                <w:sz w:val="24"/>
                <w:szCs w:val="24"/>
              </w:rPr>
              <w:fldChar w:fldCharType="begin"/>
            </w:r>
            <w:r w:rsidRPr="00C246E9">
              <w:rPr>
                <w:bCs/>
                <w:sz w:val="24"/>
                <w:szCs w:val="24"/>
              </w:rPr>
              <w:instrText xml:space="preserve"> PAGE </w:instrText>
            </w:r>
            <w:r w:rsidRPr="00C246E9">
              <w:rPr>
                <w:bCs/>
                <w:sz w:val="24"/>
                <w:szCs w:val="24"/>
              </w:rPr>
              <w:fldChar w:fldCharType="separate"/>
            </w:r>
            <w:r>
              <w:rPr>
                <w:bCs/>
                <w:noProof/>
                <w:sz w:val="24"/>
                <w:szCs w:val="24"/>
              </w:rPr>
              <w:t>3</w:t>
            </w:r>
            <w:r w:rsidRPr="00C246E9">
              <w:rPr>
                <w:bCs/>
                <w:sz w:val="24"/>
                <w:szCs w:val="24"/>
              </w:rPr>
              <w:fldChar w:fldCharType="end"/>
            </w:r>
            <w:r w:rsidRPr="00C246E9">
              <w:rPr>
                <w:sz w:val="24"/>
                <w:szCs w:val="24"/>
              </w:rPr>
              <w:t xml:space="preserve"> of </w:t>
            </w:r>
            <w:r w:rsidRPr="00C246E9">
              <w:rPr>
                <w:bCs/>
                <w:sz w:val="24"/>
                <w:szCs w:val="24"/>
              </w:rPr>
              <w:fldChar w:fldCharType="begin"/>
            </w:r>
            <w:r w:rsidRPr="00C246E9">
              <w:rPr>
                <w:bCs/>
                <w:sz w:val="24"/>
                <w:szCs w:val="24"/>
              </w:rPr>
              <w:instrText xml:space="preserve"> NUMPAGES  </w:instrText>
            </w:r>
            <w:r w:rsidRPr="00C246E9">
              <w:rPr>
                <w:bCs/>
                <w:sz w:val="24"/>
                <w:szCs w:val="24"/>
              </w:rPr>
              <w:fldChar w:fldCharType="separate"/>
            </w:r>
            <w:r>
              <w:rPr>
                <w:bCs/>
                <w:noProof/>
                <w:sz w:val="24"/>
                <w:szCs w:val="24"/>
              </w:rPr>
              <w:t>3</w:t>
            </w:r>
            <w:r w:rsidRPr="00C246E9">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58024223" w:displacedByCustomXml="next"/>
  <w:sdt>
    <w:sdtPr>
      <w:id w:val="1533231007"/>
      <w:docPartObj>
        <w:docPartGallery w:val="Page Numbers (Top of Page)"/>
        <w:docPartUnique/>
      </w:docPartObj>
    </w:sdtPr>
    <w:sdtEndPr/>
    <w:sdtContent>
      <w:p w14:paraId="6862AC16" w14:textId="3C2BCC67" w:rsidR="000F43C2" w:rsidRDefault="000F43C2" w:rsidP="00C246E9">
        <w:pPr>
          <w:pStyle w:val="Footer"/>
        </w:pPr>
        <w:r>
          <w:rPr>
            <w:sz w:val="24"/>
            <w:szCs w:val="24"/>
          </w:rPr>
          <w:t>ELL IET TA DE</w:t>
        </w:r>
        <w:r w:rsidRPr="00C246E9">
          <w:rPr>
            <w:sz w:val="24"/>
            <w:szCs w:val="24"/>
          </w:rPr>
          <w:t xml:space="preserve"> SFP PY 20</w:t>
        </w:r>
        <w:r>
          <w:rPr>
            <w:sz w:val="24"/>
            <w:szCs w:val="24"/>
          </w:rPr>
          <w:t>22</w:t>
        </w:r>
        <w:r w:rsidRPr="00C246E9">
          <w:rPr>
            <w:sz w:val="24"/>
            <w:szCs w:val="24"/>
          </w:rPr>
          <w:t>-</w:t>
        </w:r>
        <w:r>
          <w:rPr>
            <w:sz w:val="24"/>
            <w:szCs w:val="24"/>
          </w:rPr>
          <w:t>23</w:t>
        </w:r>
        <w:bookmarkEnd w:id="0"/>
        <w:r w:rsidRPr="00C246E9">
          <w:rPr>
            <w:sz w:val="24"/>
            <w:szCs w:val="24"/>
          </w:rPr>
          <w:tab/>
        </w:r>
        <w:r w:rsidRPr="00C246E9">
          <w:rPr>
            <w:sz w:val="24"/>
            <w:szCs w:val="24"/>
          </w:rPr>
          <w:tab/>
          <w:t xml:space="preserve">Page </w:t>
        </w:r>
        <w:r w:rsidRPr="00C246E9">
          <w:rPr>
            <w:bCs/>
            <w:sz w:val="24"/>
            <w:szCs w:val="24"/>
          </w:rPr>
          <w:fldChar w:fldCharType="begin"/>
        </w:r>
        <w:r w:rsidRPr="00C246E9">
          <w:rPr>
            <w:bCs/>
            <w:sz w:val="24"/>
            <w:szCs w:val="24"/>
          </w:rPr>
          <w:instrText xml:space="preserve"> PAGE </w:instrText>
        </w:r>
        <w:r w:rsidRPr="00C246E9">
          <w:rPr>
            <w:bCs/>
            <w:sz w:val="24"/>
            <w:szCs w:val="24"/>
          </w:rPr>
          <w:fldChar w:fldCharType="separate"/>
        </w:r>
        <w:r>
          <w:rPr>
            <w:bCs/>
            <w:noProof/>
            <w:sz w:val="24"/>
            <w:szCs w:val="24"/>
          </w:rPr>
          <w:t>1</w:t>
        </w:r>
        <w:r w:rsidRPr="00C246E9">
          <w:rPr>
            <w:bCs/>
            <w:sz w:val="24"/>
            <w:szCs w:val="24"/>
          </w:rPr>
          <w:fldChar w:fldCharType="end"/>
        </w:r>
        <w:r w:rsidRPr="00C246E9">
          <w:rPr>
            <w:sz w:val="24"/>
            <w:szCs w:val="24"/>
          </w:rPr>
          <w:t xml:space="preserve"> of </w:t>
        </w:r>
        <w:r w:rsidRPr="00C246E9">
          <w:rPr>
            <w:bCs/>
            <w:sz w:val="24"/>
            <w:szCs w:val="24"/>
          </w:rPr>
          <w:fldChar w:fldCharType="begin"/>
        </w:r>
        <w:r w:rsidRPr="00C246E9">
          <w:rPr>
            <w:bCs/>
            <w:sz w:val="24"/>
            <w:szCs w:val="24"/>
          </w:rPr>
          <w:instrText xml:space="preserve"> NUMPAGES  </w:instrText>
        </w:r>
        <w:r w:rsidRPr="00C246E9">
          <w:rPr>
            <w:bCs/>
            <w:sz w:val="24"/>
            <w:szCs w:val="24"/>
          </w:rPr>
          <w:fldChar w:fldCharType="separate"/>
        </w:r>
        <w:r>
          <w:rPr>
            <w:bCs/>
            <w:noProof/>
            <w:sz w:val="24"/>
            <w:szCs w:val="24"/>
          </w:rPr>
          <w:t>3</w:t>
        </w:r>
        <w:r w:rsidRPr="00C246E9">
          <w:rPr>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B1AB4" w14:textId="77777777" w:rsidR="00D248CB" w:rsidRDefault="00D248CB" w:rsidP="00C4619D">
      <w:pPr>
        <w:spacing w:after="0" w:line="240" w:lineRule="auto"/>
      </w:pPr>
      <w:r>
        <w:separator/>
      </w:r>
    </w:p>
  </w:footnote>
  <w:footnote w:type="continuationSeparator" w:id="0">
    <w:p w14:paraId="2A7B1AB5" w14:textId="77777777" w:rsidR="00D248CB" w:rsidRDefault="00D248CB" w:rsidP="00C46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6397"/>
    <w:multiLevelType w:val="hybridMultilevel"/>
    <w:tmpl w:val="EC38A8FA"/>
    <w:lvl w:ilvl="0" w:tplc="04090001">
      <w:start w:val="1"/>
      <w:numFmt w:val="bullet"/>
      <w:lvlText w:val=""/>
      <w:lvlJc w:val="left"/>
      <w:pPr>
        <w:ind w:left="360" w:hanging="360"/>
      </w:pPr>
      <w:rPr>
        <w:rFonts w:ascii="Symbol" w:hAnsi="Symbol" w:hint="default"/>
      </w:rPr>
    </w:lvl>
    <w:lvl w:ilvl="1" w:tplc="10780C60">
      <w:numFmt w:val="bullet"/>
      <w:lvlText w:val="•"/>
      <w:lvlJc w:val="left"/>
      <w:pPr>
        <w:ind w:left="1080" w:hanging="360"/>
      </w:pPr>
      <w:rPr>
        <w:rFonts w:ascii="Calibri" w:eastAsiaTheme="minorEastAsia"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226CDA"/>
    <w:multiLevelType w:val="hybridMultilevel"/>
    <w:tmpl w:val="77906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BF4DBD"/>
    <w:multiLevelType w:val="hybridMultilevel"/>
    <w:tmpl w:val="1FFA297E"/>
    <w:lvl w:ilvl="0" w:tplc="B232CA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31FD2"/>
    <w:multiLevelType w:val="hybridMultilevel"/>
    <w:tmpl w:val="F16A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B6C9F"/>
    <w:multiLevelType w:val="hybridMultilevel"/>
    <w:tmpl w:val="C26C3D68"/>
    <w:lvl w:ilvl="0" w:tplc="B232CA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B2299"/>
    <w:multiLevelType w:val="hybridMultilevel"/>
    <w:tmpl w:val="F3FA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E11D8"/>
    <w:multiLevelType w:val="hybridMultilevel"/>
    <w:tmpl w:val="6B0A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64229"/>
    <w:multiLevelType w:val="hybridMultilevel"/>
    <w:tmpl w:val="4F969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5A493A"/>
    <w:multiLevelType w:val="hybridMultilevel"/>
    <w:tmpl w:val="CFB8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B026AF"/>
    <w:multiLevelType w:val="hybridMultilevel"/>
    <w:tmpl w:val="D14ABE2E"/>
    <w:lvl w:ilvl="0" w:tplc="B232CA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9B37BB"/>
    <w:multiLevelType w:val="hybridMultilevel"/>
    <w:tmpl w:val="7CBCD358"/>
    <w:lvl w:ilvl="0" w:tplc="10780C6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75B7F"/>
    <w:multiLevelType w:val="hybridMultilevel"/>
    <w:tmpl w:val="D422D4C0"/>
    <w:lvl w:ilvl="0" w:tplc="B232CA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8111ED"/>
    <w:multiLevelType w:val="hybridMultilevel"/>
    <w:tmpl w:val="A378BC80"/>
    <w:lvl w:ilvl="0" w:tplc="B232CA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5939904">
    <w:abstractNumId w:val="1"/>
  </w:num>
  <w:num w:numId="2" w16cid:durableId="689454078">
    <w:abstractNumId w:val="6"/>
  </w:num>
  <w:num w:numId="3" w16cid:durableId="878592664">
    <w:abstractNumId w:val="5"/>
  </w:num>
  <w:num w:numId="4" w16cid:durableId="662659529">
    <w:abstractNumId w:val="9"/>
  </w:num>
  <w:num w:numId="5" w16cid:durableId="1864830390">
    <w:abstractNumId w:val="2"/>
  </w:num>
  <w:num w:numId="6" w16cid:durableId="1689671826">
    <w:abstractNumId w:val="11"/>
  </w:num>
  <w:num w:numId="7" w16cid:durableId="1382482771">
    <w:abstractNumId w:val="4"/>
  </w:num>
  <w:num w:numId="8" w16cid:durableId="504587022">
    <w:abstractNumId w:val="12"/>
  </w:num>
  <w:num w:numId="9" w16cid:durableId="500395704">
    <w:abstractNumId w:val="10"/>
  </w:num>
  <w:num w:numId="10" w16cid:durableId="1327199481">
    <w:abstractNumId w:val="0"/>
  </w:num>
  <w:num w:numId="11" w16cid:durableId="1424035759">
    <w:abstractNumId w:val="7"/>
  </w:num>
  <w:num w:numId="12" w16cid:durableId="192698175">
    <w:abstractNumId w:val="8"/>
  </w:num>
  <w:num w:numId="13" w16cid:durableId="347561247">
    <w:abstractNumId w:val="12"/>
  </w:num>
  <w:num w:numId="14" w16cid:durableId="196327064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WwMDYxMDUzMjCwNDVX0lEKTi0uzszPAykwNKgFACA1ywktAAAA"/>
  </w:docVars>
  <w:rsids>
    <w:rsidRoot w:val="00C4619D"/>
    <w:rsid w:val="00011FF6"/>
    <w:rsid w:val="000126A8"/>
    <w:rsid w:val="00063D26"/>
    <w:rsid w:val="00064B6A"/>
    <w:rsid w:val="00070957"/>
    <w:rsid w:val="00077074"/>
    <w:rsid w:val="000907CE"/>
    <w:rsid w:val="00090C71"/>
    <w:rsid w:val="000959DC"/>
    <w:rsid w:val="000B770F"/>
    <w:rsid w:val="000C1656"/>
    <w:rsid w:val="000D41F4"/>
    <w:rsid w:val="000E4D62"/>
    <w:rsid w:val="000F43C2"/>
    <w:rsid w:val="00133F04"/>
    <w:rsid w:val="00154CD4"/>
    <w:rsid w:val="00166463"/>
    <w:rsid w:val="001721FE"/>
    <w:rsid w:val="001728DE"/>
    <w:rsid w:val="001B3587"/>
    <w:rsid w:val="001E3B85"/>
    <w:rsid w:val="00233C68"/>
    <w:rsid w:val="00240B61"/>
    <w:rsid w:val="00243E97"/>
    <w:rsid w:val="0024484A"/>
    <w:rsid w:val="0027732C"/>
    <w:rsid w:val="00291A68"/>
    <w:rsid w:val="0029566A"/>
    <w:rsid w:val="002A49F5"/>
    <w:rsid w:val="002A69E5"/>
    <w:rsid w:val="002B0D57"/>
    <w:rsid w:val="002C35C8"/>
    <w:rsid w:val="002C5993"/>
    <w:rsid w:val="002E43F9"/>
    <w:rsid w:val="002F1B40"/>
    <w:rsid w:val="002F4F56"/>
    <w:rsid w:val="002F72EE"/>
    <w:rsid w:val="00302E1B"/>
    <w:rsid w:val="003074D7"/>
    <w:rsid w:val="00340557"/>
    <w:rsid w:val="00340F8B"/>
    <w:rsid w:val="003460E9"/>
    <w:rsid w:val="003942DF"/>
    <w:rsid w:val="003A6798"/>
    <w:rsid w:val="003D1304"/>
    <w:rsid w:val="003F4960"/>
    <w:rsid w:val="00400CB3"/>
    <w:rsid w:val="004749D2"/>
    <w:rsid w:val="004844F0"/>
    <w:rsid w:val="00494234"/>
    <w:rsid w:val="004966B2"/>
    <w:rsid w:val="004C54B7"/>
    <w:rsid w:val="004C7A9D"/>
    <w:rsid w:val="004D2C52"/>
    <w:rsid w:val="004D4E7D"/>
    <w:rsid w:val="004E109F"/>
    <w:rsid w:val="004F2406"/>
    <w:rsid w:val="00514CE3"/>
    <w:rsid w:val="00523650"/>
    <w:rsid w:val="00524E7C"/>
    <w:rsid w:val="0053402D"/>
    <w:rsid w:val="005346C5"/>
    <w:rsid w:val="00571C67"/>
    <w:rsid w:val="005C4514"/>
    <w:rsid w:val="005E4B40"/>
    <w:rsid w:val="005E57E5"/>
    <w:rsid w:val="00623BAB"/>
    <w:rsid w:val="00636158"/>
    <w:rsid w:val="0064435D"/>
    <w:rsid w:val="00686543"/>
    <w:rsid w:val="00687E26"/>
    <w:rsid w:val="00693DDF"/>
    <w:rsid w:val="006A609C"/>
    <w:rsid w:val="006D1667"/>
    <w:rsid w:val="006D66AF"/>
    <w:rsid w:val="006E33D0"/>
    <w:rsid w:val="006F5A0B"/>
    <w:rsid w:val="006F5CE6"/>
    <w:rsid w:val="006F6840"/>
    <w:rsid w:val="00700933"/>
    <w:rsid w:val="0071078A"/>
    <w:rsid w:val="00716530"/>
    <w:rsid w:val="00716669"/>
    <w:rsid w:val="007538F6"/>
    <w:rsid w:val="00771FA8"/>
    <w:rsid w:val="00775A64"/>
    <w:rsid w:val="00781EB2"/>
    <w:rsid w:val="00784BC8"/>
    <w:rsid w:val="007C0F9E"/>
    <w:rsid w:val="007D3711"/>
    <w:rsid w:val="007D58C7"/>
    <w:rsid w:val="007E66FD"/>
    <w:rsid w:val="008049DD"/>
    <w:rsid w:val="008061A0"/>
    <w:rsid w:val="00821C18"/>
    <w:rsid w:val="00826C66"/>
    <w:rsid w:val="0084049D"/>
    <w:rsid w:val="00846345"/>
    <w:rsid w:val="0085022D"/>
    <w:rsid w:val="00861DD5"/>
    <w:rsid w:val="008650C0"/>
    <w:rsid w:val="008705AC"/>
    <w:rsid w:val="008909EA"/>
    <w:rsid w:val="00891CC6"/>
    <w:rsid w:val="008A02DA"/>
    <w:rsid w:val="008A230E"/>
    <w:rsid w:val="008C7368"/>
    <w:rsid w:val="008F25C4"/>
    <w:rsid w:val="008F5942"/>
    <w:rsid w:val="00925AA4"/>
    <w:rsid w:val="00927D78"/>
    <w:rsid w:val="0094663B"/>
    <w:rsid w:val="00962108"/>
    <w:rsid w:val="009632DF"/>
    <w:rsid w:val="009A46BE"/>
    <w:rsid w:val="009A75A1"/>
    <w:rsid w:val="009B6098"/>
    <w:rsid w:val="00A05EF4"/>
    <w:rsid w:val="00A11416"/>
    <w:rsid w:val="00A20F6A"/>
    <w:rsid w:val="00A21B60"/>
    <w:rsid w:val="00A311B3"/>
    <w:rsid w:val="00A465C4"/>
    <w:rsid w:val="00A70F23"/>
    <w:rsid w:val="00A73267"/>
    <w:rsid w:val="00A74BA9"/>
    <w:rsid w:val="00A753B5"/>
    <w:rsid w:val="00A86DD1"/>
    <w:rsid w:val="00A87636"/>
    <w:rsid w:val="00A87723"/>
    <w:rsid w:val="00A92296"/>
    <w:rsid w:val="00AD568A"/>
    <w:rsid w:val="00AE047D"/>
    <w:rsid w:val="00B14D9C"/>
    <w:rsid w:val="00B37BB7"/>
    <w:rsid w:val="00B44FC5"/>
    <w:rsid w:val="00B462B4"/>
    <w:rsid w:val="00B535B4"/>
    <w:rsid w:val="00B617B8"/>
    <w:rsid w:val="00B61E64"/>
    <w:rsid w:val="00B71F39"/>
    <w:rsid w:val="00B775DE"/>
    <w:rsid w:val="00B829F0"/>
    <w:rsid w:val="00BA24B1"/>
    <w:rsid w:val="00BB00C9"/>
    <w:rsid w:val="00BC356A"/>
    <w:rsid w:val="00BD2D7B"/>
    <w:rsid w:val="00BD5FED"/>
    <w:rsid w:val="00BF7C9C"/>
    <w:rsid w:val="00BF7E4A"/>
    <w:rsid w:val="00C2293A"/>
    <w:rsid w:val="00C246E9"/>
    <w:rsid w:val="00C25776"/>
    <w:rsid w:val="00C438E6"/>
    <w:rsid w:val="00C4619D"/>
    <w:rsid w:val="00C606DA"/>
    <w:rsid w:val="00C83C7A"/>
    <w:rsid w:val="00C84B03"/>
    <w:rsid w:val="00C864F3"/>
    <w:rsid w:val="00CC6D87"/>
    <w:rsid w:val="00CE4E83"/>
    <w:rsid w:val="00CE7DBA"/>
    <w:rsid w:val="00CF3344"/>
    <w:rsid w:val="00D00615"/>
    <w:rsid w:val="00D248CB"/>
    <w:rsid w:val="00D426EA"/>
    <w:rsid w:val="00D43839"/>
    <w:rsid w:val="00D531FE"/>
    <w:rsid w:val="00D7273E"/>
    <w:rsid w:val="00D847CF"/>
    <w:rsid w:val="00D84EC1"/>
    <w:rsid w:val="00D92336"/>
    <w:rsid w:val="00D9488F"/>
    <w:rsid w:val="00D9507B"/>
    <w:rsid w:val="00DD2A85"/>
    <w:rsid w:val="00DD5A7C"/>
    <w:rsid w:val="00DE3A9E"/>
    <w:rsid w:val="00DF04CB"/>
    <w:rsid w:val="00E11D10"/>
    <w:rsid w:val="00E22C01"/>
    <w:rsid w:val="00E23A28"/>
    <w:rsid w:val="00E336CE"/>
    <w:rsid w:val="00E34457"/>
    <w:rsid w:val="00E45DDD"/>
    <w:rsid w:val="00E47FE8"/>
    <w:rsid w:val="00E52A71"/>
    <w:rsid w:val="00E5359A"/>
    <w:rsid w:val="00E62996"/>
    <w:rsid w:val="00E70543"/>
    <w:rsid w:val="00E77FE5"/>
    <w:rsid w:val="00E81F29"/>
    <w:rsid w:val="00E90290"/>
    <w:rsid w:val="00E93C01"/>
    <w:rsid w:val="00EA22D1"/>
    <w:rsid w:val="00EB7C33"/>
    <w:rsid w:val="00ED2643"/>
    <w:rsid w:val="00ED6F27"/>
    <w:rsid w:val="00EE29CE"/>
    <w:rsid w:val="00EE6F6A"/>
    <w:rsid w:val="00EF4E2D"/>
    <w:rsid w:val="00F30065"/>
    <w:rsid w:val="00F40AB7"/>
    <w:rsid w:val="00F44EFA"/>
    <w:rsid w:val="00F7314C"/>
    <w:rsid w:val="00F9480C"/>
    <w:rsid w:val="00FD56D3"/>
    <w:rsid w:val="00FE11C7"/>
    <w:rsid w:val="00FE16C5"/>
    <w:rsid w:val="00FE4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7B1A51"/>
  <w15:chartTrackingRefBased/>
  <w15:docId w15:val="{CD496050-676D-4EE3-823A-B241FE82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B03"/>
  </w:style>
  <w:style w:type="paragraph" w:styleId="Heading1">
    <w:name w:val="heading 1"/>
    <w:basedOn w:val="Normal"/>
    <w:next w:val="Normal"/>
    <w:link w:val="Heading1Char"/>
    <w:uiPriority w:val="9"/>
    <w:qFormat/>
    <w:rsid w:val="00C246E9"/>
    <w:pPr>
      <w:spacing w:after="0" w:line="240" w:lineRule="auto"/>
      <w:outlineLvl w:val="0"/>
    </w:pPr>
    <w:rPr>
      <w:b/>
      <w:noProof/>
      <w:color w:val="1F4E79" w:themeColor="accent1" w:themeShade="80"/>
      <w:sz w:val="28"/>
      <w:szCs w:val="28"/>
    </w:rPr>
  </w:style>
  <w:style w:type="paragraph" w:styleId="Heading2">
    <w:name w:val="heading 2"/>
    <w:basedOn w:val="Normal"/>
    <w:next w:val="Normal"/>
    <w:link w:val="Heading2Char"/>
    <w:uiPriority w:val="9"/>
    <w:unhideWhenUsed/>
    <w:qFormat/>
    <w:rsid w:val="00F44EFA"/>
    <w:pPr>
      <w:outlineLvl w:val="1"/>
    </w:pPr>
    <w:rPr>
      <w:b/>
      <w:color w:val="1F4E79" w:themeColor="accent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619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C46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19D"/>
  </w:style>
  <w:style w:type="paragraph" w:styleId="Footer">
    <w:name w:val="footer"/>
    <w:basedOn w:val="Normal"/>
    <w:link w:val="FooterChar"/>
    <w:uiPriority w:val="99"/>
    <w:unhideWhenUsed/>
    <w:rsid w:val="00C46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19D"/>
  </w:style>
  <w:style w:type="character" w:styleId="Hyperlink">
    <w:name w:val="Hyperlink"/>
    <w:basedOn w:val="DefaultParagraphFont"/>
    <w:uiPriority w:val="99"/>
    <w:unhideWhenUsed/>
    <w:rsid w:val="00C4619D"/>
    <w:rPr>
      <w:color w:val="0563C1" w:themeColor="hyperlink"/>
      <w:u w:val="single"/>
    </w:rPr>
  </w:style>
  <w:style w:type="paragraph" w:styleId="BalloonText">
    <w:name w:val="Balloon Text"/>
    <w:basedOn w:val="Normal"/>
    <w:link w:val="BalloonTextChar"/>
    <w:uiPriority w:val="99"/>
    <w:semiHidden/>
    <w:unhideWhenUsed/>
    <w:rsid w:val="00C46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19D"/>
    <w:rPr>
      <w:rFonts w:ascii="Segoe UI" w:hAnsi="Segoe UI" w:cs="Segoe UI"/>
      <w:sz w:val="18"/>
      <w:szCs w:val="18"/>
    </w:rPr>
  </w:style>
  <w:style w:type="character" w:styleId="PlaceholderText">
    <w:name w:val="Placeholder Text"/>
    <w:basedOn w:val="DefaultParagraphFont"/>
    <w:uiPriority w:val="99"/>
    <w:semiHidden/>
    <w:rsid w:val="004C54B7"/>
    <w:rPr>
      <w:color w:val="808080"/>
    </w:rPr>
  </w:style>
  <w:style w:type="character" w:customStyle="1" w:styleId="Heading1Char">
    <w:name w:val="Heading 1 Char"/>
    <w:basedOn w:val="DefaultParagraphFont"/>
    <w:link w:val="Heading1"/>
    <w:uiPriority w:val="9"/>
    <w:rsid w:val="00C246E9"/>
    <w:rPr>
      <w:b/>
      <w:noProof/>
      <w:color w:val="1F4E79" w:themeColor="accent1" w:themeShade="80"/>
      <w:sz w:val="28"/>
      <w:szCs w:val="28"/>
    </w:rPr>
  </w:style>
  <w:style w:type="table" w:styleId="PlainTable3">
    <w:name w:val="Plain Table 3"/>
    <w:basedOn w:val="TableNormal"/>
    <w:uiPriority w:val="43"/>
    <w:rsid w:val="00C246E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F44EFA"/>
    <w:rPr>
      <w:b/>
      <w:color w:val="1F4E79" w:themeColor="accent1" w:themeShade="80"/>
      <w:sz w:val="24"/>
    </w:rPr>
  </w:style>
  <w:style w:type="paragraph" w:styleId="ListParagraph">
    <w:name w:val="List Paragraph"/>
    <w:basedOn w:val="Normal"/>
    <w:uiPriority w:val="34"/>
    <w:qFormat/>
    <w:rsid w:val="004F2406"/>
    <w:pPr>
      <w:ind w:left="720"/>
      <w:contextualSpacing/>
    </w:pPr>
  </w:style>
  <w:style w:type="character" w:styleId="CommentReference">
    <w:name w:val="annotation reference"/>
    <w:basedOn w:val="DefaultParagraphFont"/>
    <w:uiPriority w:val="99"/>
    <w:semiHidden/>
    <w:unhideWhenUsed/>
    <w:rsid w:val="00B462B4"/>
    <w:rPr>
      <w:sz w:val="16"/>
      <w:szCs w:val="16"/>
    </w:rPr>
  </w:style>
  <w:style w:type="paragraph" w:styleId="CommentText">
    <w:name w:val="annotation text"/>
    <w:basedOn w:val="Normal"/>
    <w:link w:val="CommentTextChar"/>
    <w:uiPriority w:val="99"/>
    <w:semiHidden/>
    <w:unhideWhenUsed/>
    <w:rsid w:val="00B462B4"/>
    <w:pPr>
      <w:spacing w:line="240" w:lineRule="auto"/>
    </w:pPr>
    <w:rPr>
      <w:rFonts w:eastAsiaTheme="minorEastAsia" w:cs="Times New Roman"/>
      <w:sz w:val="20"/>
      <w:szCs w:val="20"/>
    </w:rPr>
  </w:style>
  <w:style w:type="character" w:customStyle="1" w:styleId="CommentTextChar">
    <w:name w:val="Comment Text Char"/>
    <w:basedOn w:val="DefaultParagraphFont"/>
    <w:link w:val="CommentText"/>
    <w:uiPriority w:val="99"/>
    <w:semiHidden/>
    <w:rsid w:val="00B462B4"/>
    <w:rPr>
      <w:rFonts w:eastAsiaTheme="minorEastAsia" w:cs="Times New Roman"/>
      <w:sz w:val="20"/>
      <w:szCs w:val="20"/>
    </w:rPr>
  </w:style>
  <w:style w:type="character" w:styleId="UnresolvedMention">
    <w:name w:val="Unresolved Mention"/>
    <w:basedOn w:val="DefaultParagraphFont"/>
    <w:uiPriority w:val="99"/>
    <w:semiHidden/>
    <w:unhideWhenUsed/>
    <w:rsid w:val="00826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1278">
      <w:bodyDiv w:val="1"/>
      <w:marLeft w:val="0"/>
      <w:marRight w:val="0"/>
      <w:marTop w:val="0"/>
      <w:marBottom w:val="0"/>
      <w:divBdr>
        <w:top w:val="none" w:sz="0" w:space="0" w:color="auto"/>
        <w:left w:val="none" w:sz="0" w:space="0" w:color="auto"/>
        <w:bottom w:val="none" w:sz="0" w:space="0" w:color="auto"/>
        <w:right w:val="none" w:sz="0" w:space="0" w:color="auto"/>
      </w:divBdr>
    </w:div>
    <w:div w:id="636688914">
      <w:bodyDiv w:val="1"/>
      <w:marLeft w:val="0"/>
      <w:marRight w:val="0"/>
      <w:marTop w:val="0"/>
      <w:marBottom w:val="0"/>
      <w:divBdr>
        <w:top w:val="none" w:sz="0" w:space="0" w:color="auto"/>
        <w:left w:val="none" w:sz="0" w:space="0" w:color="auto"/>
        <w:bottom w:val="none" w:sz="0" w:space="0" w:color="auto"/>
        <w:right w:val="none" w:sz="0" w:space="0" w:color="auto"/>
      </w:divBdr>
    </w:div>
    <w:div w:id="777070223">
      <w:bodyDiv w:val="1"/>
      <w:marLeft w:val="0"/>
      <w:marRight w:val="0"/>
      <w:marTop w:val="0"/>
      <w:marBottom w:val="0"/>
      <w:divBdr>
        <w:top w:val="none" w:sz="0" w:space="0" w:color="auto"/>
        <w:left w:val="none" w:sz="0" w:space="0" w:color="auto"/>
        <w:bottom w:val="none" w:sz="0" w:space="0" w:color="auto"/>
        <w:right w:val="none" w:sz="0" w:space="0" w:color="auto"/>
      </w:divBdr>
    </w:div>
    <w:div w:id="803885747">
      <w:bodyDiv w:val="1"/>
      <w:marLeft w:val="0"/>
      <w:marRight w:val="0"/>
      <w:marTop w:val="0"/>
      <w:marBottom w:val="0"/>
      <w:divBdr>
        <w:top w:val="none" w:sz="0" w:space="0" w:color="auto"/>
        <w:left w:val="none" w:sz="0" w:space="0" w:color="auto"/>
        <w:bottom w:val="none" w:sz="0" w:space="0" w:color="auto"/>
        <w:right w:val="none" w:sz="0" w:space="0" w:color="auto"/>
      </w:divBdr>
    </w:div>
    <w:div w:id="879391921">
      <w:bodyDiv w:val="1"/>
      <w:marLeft w:val="0"/>
      <w:marRight w:val="0"/>
      <w:marTop w:val="0"/>
      <w:marBottom w:val="0"/>
      <w:divBdr>
        <w:top w:val="none" w:sz="0" w:space="0" w:color="auto"/>
        <w:left w:val="none" w:sz="0" w:space="0" w:color="auto"/>
        <w:bottom w:val="none" w:sz="0" w:space="0" w:color="auto"/>
        <w:right w:val="none" w:sz="0" w:space="0" w:color="auto"/>
      </w:divBdr>
    </w:div>
    <w:div w:id="1013529727">
      <w:bodyDiv w:val="1"/>
      <w:marLeft w:val="0"/>
      <w:marRight w:val="0"/>
      <w:marTop w:val="0"/>
      <w:marBottom w:val="0"/>
      <w:divBdr>
        <w:top w:val="none" w:sz="0" w:space="0" w:color="auto"/>
        <w:left w:val="none" w:sz="0" w:space="0" w:color="auto"/>
        <w:bottom w:val="none" w:sz="0" w:space="0" w:color="auto"/>
        <w:right w:val="none" w:sz="0" w:space="0" w:color="auto"/>
      </w:divBdr>
    </w:div>
    <w:div w:id="1062825961">
      <w:bodyDiv w:val="1"/>
      <w:marLeft w:val="0"/>
      <w:marRight w:val="0"/>
      <w:marTop w:val="0"/>
      <w:marBottom w:val="0"/>
      <w:divBdr>
        <w:top w:val="none" w:sz="0" w:space="0" w:color="auto"/>
        <w:left w:val="none" w:sz="0" w:space="0" w:color="auto"/>
        <w:bottom w:val="none" w:sz="0" w:space="0" w:color="auto"/>
        <w:right w:val="none" w:sz="0" w:space="0" w:color="auto"/>
      </w:divBdr>
    </w:div>
    <w:div w:id="1154830463">
      <w:bodyDiv w:val="1"/>
      <w:marLeft w:val="0"/>
      <w:marRight w:val="0"/>
      <w:marTop w:val="0"/>
      <w:marBottom w:val="0"/>
      <w:divBdr>
        <w:top w:val="none" w:sz="0" w:space="0" w:color="auto"/>
        <w:left w:val="none" w:sz="0" w:space="0" w:color="auto"/>
        <w:bottom w:val="none" w:sz="0" w:space="0" w:color="auto"/>
        <w:right w:val="none" w:sz="0" w:space="0" w:color="auto"/>
      </w:divBdr>
    </w:div>
    <w:div w:id="1687902754">
      <w:bodyDiv w:val="1"/>
      <w:marLeft w:val="0"/>
      <w:marRight w:val="0"/>
      <w:marTop w:val="0"/>
      <w:marBottom w:val="0"/>
      <w:divBdr>
        <w:top w:val="none" w:sz="0" w:space="0" w:color="auto"/>
        <w:left w:val="none" w:sz="0" w:space="0" w:color="auto"/>
        <w:bottom w:val="none" w:sz="0" w:space="0" w:color="auto"/>
        <w:right w:val="none" w:sz="0" w:space="0" w:color="auto"/>
      </w:divBdr>
    </w:div>
    <w:div w:id="1880317231">
      <w:bodyDiv w:val="1"/>
      <w:marLeft w:val="0"/>
      <w:marRight w:val="0"/>
      <w:marTop w:val="0"/>
      <w:marBottom w:val="0"/>
      <w:divBdr>
        <w:top w:val="none" w:sz="0" w:space="0" w:color="auto"/>
        <w:left w:val="none" w:sz="0" w:space="0" w:color="auto"/>
        <w:bottom w:val="none" w:sz="0" w:space="0" w:color="auto"/>
        <w:right w:val="none" w:sz="0" w:space="0" w:color="auto"/>
      </w:divBdr>
    </w:div>
    <w:div w:id="212966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rica.Bouris@rescu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ct Management" ma:contentTypeID="0x010100D571FD07E671E2489F449FDA63933F4100EB9405400B65984A9E7974DD7067B5E1" ma:contentTypeVersion="8" ma:contentTypeDescription="" ma:contentTypeScope="" ma:versionID="2cbc878aa4d5e5e649066a1926d769b8">
  <xsd:schema xmlns:xsd="http://www.w3.org/2001/XMLSchema" xmlns:xs="http://www.w3.org/2001/XMLSchema" xmlns:p="http://schemas.microsoft.com/office/2006/metadata/properties" targetNamespace="http://schemas.microsoft.com/office/2006/metadata/properties" ma:root="true" ma:fieldsID="299a3f5ee5223cc661f9959a98653c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48D163-EF31-4114-B1BA-37B93560C4D0}">
  <ds:schemaRefs>
    <ds:schemaRef ds:uri="http://schemas.microsoft.com/sharepoint/v3/contenttype/forms"/>
  </ds:schemaRefs>
</ds:datastoreItem>
</file>

<file path=customXml/itemProps2.xml><?xml version="1.0" encoding="utf-8"?>
<ds:datastoreItem xmlns:ds="http://schemas.openxmlformats.org/officeDocument/2006/customXml" ds:itemID="{A961EE71-6B43-4480-9F7D-267184B69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3DF960-B91E-42A4-BF44-EB0FF909A7FF}">
  <ds:schemaRefs>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Award List Template (for SFPs)</vt:lpstr>
    </vt:vector>
  </TitlesOfParts>
  <Company>Employment Development Department</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List Template (for SFPs)</dc:title>
  <dc:subject/>
  <dc:creator>EDD WSB</dc:creator>
  <cp:keywords>SFP, grant funding</cp:keywords>
  <dc:description/>
  <cp:lastModifiedBy>Richardson, Jeffrey@EDD</cp:lastModifiedBy>
  <cp:revision>15</cp:revision>
  <cp:lastPrinted>2017-06-15T19:41:00Z</cp:lastPrinted>
  <dcterms:created xsi:type="dcterms:W3CDTF">2023-10-12T18:48:00Z</dcterms:created>
  <dcterms:modified xsi:type="dcterms:W3CDTF">2024-02-05T19:28:00Z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0x010100D571FD07E671E2489F449FDA63933F4100EB9405400B65984A9E7974DD7067B5E1</vt:lpwstr>
  </property>
  <property fmtid="{D5CDD505-2E9C-101B-9397-08002B2CF9AE}" pid="3" name="TaxKeywordTaxHTField">
    <vt:lpwstr>grant funding|24533338-b092-46de-9a94-240000df5e0b;SFP|450a614c-e2c0-40a1-8bc3-ae6ada1023fe</vt:lpwstr>
  </property>
  <property fmtid="{D5CDD505-2E9C-101B-9397-08002B2CF9AE}" pid="4" name="TaxKeyword">
    <vt:lpwstr>163;#grant funding|24533338-b092-46de-9a94-240000df5e0b;#162;#SFP|450a614c-e2c0-40a1-8bc3-ae6ada1023fe</vt:lpwstr>
  </property>
  <property fmtid="{D5CDD505-2E9C-101B-9397-08002B2CF9AE}" pid="5" name="TaxCatchAll">
    <vt:lpwstr>163;#grant funding;#162;#SFP</vt:lpwstr>
  </property>
</Properties>
</file>